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08B" w:rsidRPr="0083301E" w:rsidRDefault="00CE008B" w:rsidP="0083301E">
      <w:pPr>
        <w:spacing w:after="0" w:line="276" w:lineRule="auto"/>
        <w:jc w:val="both"/>
        <w:rPr>
          <w:rFonts w:ascii="Arial" w:eastAsia="Times New Roman" w:hAnsi="Arial" w:cs="Arial"/>
          <w:lang w:eastAsia="pl-PL"/>
        </w:rPr>
      </w:pPr>
      <w:r w:rsidRPr="0083301E">
        <w:rPr>
          <w:rFonts w:ascii="Arial" w:eastAsia="Times New Roman" w:hAnsi="Arial" w:cs="Arial"/>
          <w:color w:val="808080"/>
          <w:lang w:eastAsia="pl-PL"/>
        </w:rPr>
        <w:tab/>
      </w:r>
      <w:r w:rsidRPr="0083301E">
        <w:rPr>
          <w:rFonts w:ascii="Arial" w:eastAsia="Times New Roman" w:hAnsi="Arial" w:cs="Arial"/>
          <w:color w:val="808080"/>
          <w:lang w:eastAsia="pl-PL"/>
        </w:rPr>
        <w:tab/>
      </w:r>
      <w:r w:rsidRPr="0083301E">
        <w:rPr>
          <w:rFonts w:ascii="Arial" w:eastAsia="Times New Roman" w:hAnsi="Arial" w:cs="Arial"/>
          <w:color w:val="808080"/>
          <w:lang w:eastAsia="pl-PL"/>
        </w:rPr>
        <w:tab/>
      </w:r>
      <w:r w:rsidRPr="0083301E">
        <w:rPr>
          <w:rFonts w:ascii="Arial" w:eastAsia="Times New Roman" w:hAnsi="Arial" w:cs="Arial"/>
          <w:color w:val="808080"/>
          <w:lang w:eastAsia="pl-PL"/>
        </w:rPr>
        <w:tab/>
      </w:r>
      <w:r w:rsidRPr="0083301E">
        <w:rPr>
          <w:rFonts w:ascii="Arial" w:eastAsia="Times New Roman" w:hAnsi="Arial" w:cs="Arial"/>
          <w:color w:val="808080"/>
          <w:lang w:eastAsia="pl-PL"/>
        </w:rPr>
        <w:tab/>
      </w:r>
      <w:r w:rsidRPr="0083301E">
        <w:rPr>
          <w:rFonts w:ascii="Arial" w:eastAsia="Times New Roman" w:hAnsi="Arial" w:cs="Arial"/>
          <w:color w:val="808080"/>
          <w:lang w:eastAsia="pl-PL"/>
        </w:rPr>
        <w:tab/>
      </w:r>
      <w:r w:rsidRPr="0083301E">
        <w:rPr>
          <w:rFonts w:ascii="Arial" w:eastAsia="Times New Roman" w:hAnsi="Arial" w:cs="Arial"/>
          <w:color w:val="808080"/>
          <w:lang w:eastAsia="pl-PL"/>
        </w:rPr>
        <w:tab/>
      </w:r>
      <w:r w:rsidR="0083301E">
        <w:rPr>
          <w:rFonts w:ascii="Arial" w:eastAsia="Times New Roman" w:hAnsi="Arial" w:cs="Arial"/>
          <w:color w:val="808080"/>
          <w:lang w:eastAsia="pl-PL"/>
        </w:rPr>
        <w:tab/>
      </w:r>
      <w:r w:rsidRPr="0083301E">
        <w:rPr>
          <w:rFonts w:ascii="Arial" w:eastAsia="Times New Roman" w:hAnsi="Arial" w:cs="Arial"/>
          <w:lang w:eastAsia="pl-PL"/>
        </w:rPr>
        <w:t xml:space="preserve">Warszawa, 17 kwietnia 2023 r. </w:t>
      </w:r>
    </w:p>
    <w:p w:rsidR="00CE008B" w:rsidRPr="0083301E" w:rsidRDefault="00CE008B" w:rsidP="0083301E">
      <w:pPr>
        <w:spacing w:after="0" w:line="276" w:lineRule="auto"/>
        <w:jc w:val="both"/>
        <w:rPr>
          <w:rFonts w:ascii="Arial" w:eastAsia="Times New Roman" w:hAnsi="Arial" w:cs="Arial"/>
          <w:lang w:eastAsia="pl-PL"/>
        </w:rPr>
      </w:pPr>
    </w:p>
    <w:p w:rsidR="00CE008B" w:rsidRPr="0083301E" w:rsidRDefault="00CE008B" w:rsidP="0083301E">
      <w:pPr>
        <w:spacing w:after="0" w:line="276" w:lineRule="auto"/>
        <w:jc w:val="both"/>
        <w:rPr>
          <w:rFonts w:ascii="Arial" w:eastAsia="Times New Roman" w:hAnsi="Arial" w:cs="Arial"/>
          <w:lang w:eastAsia="pl-PL"/>
        </w:rPr>
      </w:pPr>
      <w:r w:rsidRPr="0083301E">
        <w:rPr>
          <w:rFonts w:ascii="Arial" w:eastAsia="Times New Roman" w:hAnsi="Arial" w:cs="Arial"/>
          <w:lang w:eastAsia="pl-PL"/>
        </w:rPr>
        <w:t>ZDG/DAiL/……/04.23/MS</w:t>
      </w:r>
    </w:p>
    <w:p w:rsidR="00CE008B" w:rsidRPr="0083301E" w:rsidRDefault="00CE008B" w:rsidP="0083301E">
      <w:pPr>
        <w:spacing w:after="0" w:line="276" w:lineRule="auto"/>
        <w:jc w:val="both"/>
        <w:rPr>
          <w:rFonts w:ascii="Arial" w:eastAsia="Times New Roman" w:hAnsi="Arial" w:cs="Arial"/>
          <w:b/>
          <w:bCs/>
          <w:lang w:eastAsia="pl-PL"/>
        </w:rPr>
      </w:pPr>
    </w:p>
    <w:p w:rsidR="00356D4D" w:rsidRPr="0083301E" w:rsidRDefault="00356D4D" w:rsidP="0083301E">
      <w:pPr>
        <w:spacing w:after="0" w:line="276" w:lineRule="auto"/>
        <w:jc w:val="both"/>
        <w:rPr>
          <w:rFonts w:ascii="Arial" w:eastAsia="Times New Roman" w:hAnsi="Arial" w:cs="Arial"/>
          <w:b/>
          <w:bCs/>
          <w:lang w:eastAsia="pl-PL"/>
        </w:rPr>
      </w:pPr>
    </w:p>
    <w:p w:rsidR="00CE008B" w:rsidRPr="0083301E" w:rsidRDefault="00CE008B" w:rsidP="0083301E">
      <w:pPr>
        <w:spacing w:after="0" w:line="276" w:lineRule="auto"/>
        <w:jc w:val="both"/>
        <w:rPr>
          <w:rFonts w:ascii="Arial" w:eastAsia="Times New Roman" w:hAnsi="Arial" w:cs="Arial"/>
          <w:b/>
          <w:bCs/>
          <w:lang w:eastAsia="pl-PL"/>
        </w:rPr>
      </w:pPr>
    </w:p>
    <w:p w:rsidR="00CE008B" w:rsidRPr="0083301E" w:rsidRDefault="00CE008B" w:rsidP="0083301E">
      <w:pPr>
        <w:spacing w:after="0" w:line="276" w:lineRule="auto"/>
        <w:jc w:val="both"/>
        <w:rPr>
          <w:rFonts w:ascii="Arial" w:eastAsia="Times New Roman" w:hAnsi="Arial" w:cs="Arial"/>
          <w:b/>
          <w:bCs/>
          <w:lang w:eastAsia="pl-PL"/>
        </w:rPr>
      </w:pP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t>Pani</w:t>
      </w:r>
    </w:p>
    <w:p w:rsidR="00CE008B" w:rsidRPr="0083301E" w:rsidRDefault="00CE008B" w:rsidP="0083301E">
      <w:pPr>
        <w:spacing w:after="0" w:line="276" w:lineRule="auto"/>
        <w:ind w:left="4248" w:firstLine="708"/>
        <w:jc w:val="both"/>
        <w:rPr>
          <w:rFonts w:ascii="Arial" w:eastAsia="Times New Roman" w:hAnsi="Arial" w:cs="Arial"/>
          <w:b/>
          <w:bCs/>
          <w:lang w:eastAsia="pl-PL"/>
        </w:rPr>
      </w:pPr>
      <w:r w:rsidRPr="0083301E">
        <w:rPr>
          <w:rFonts w:ascii="Arial" w:eastAsia="Times New Roman" w:hAnsi="Arial" w:cs="Arial"/>
          <w:b/>
          <w:bCs/>
          <w:lang w:eastAsia="pl-PL"/>
        </w:rPr>
        <w:t>Anna Moskwa</w:t>
      </w:r>
    </w:p>
    <w:p w:rsidR="00CE008B" w:rsidRPr="0083301E" w:rsidRDefault="00CE008B" w:rsidP="0083301E">
      <w:pPr>
        <w:spacing w:after="0" w:line="276" w:lineRule="auto"/>
        <w:jc w:val="both"/>
        <w:rPr>
          <w:rFonts w:ascii="Arial" w:eastAsia="Times New Roman" w:hAnsi="Arial" w:cs="Arial"/>
          <w:b/>
          <w:bCs/>
          <w:lang w:eastAsia="pl-PL"/>
        </w:rPr>
      </w:pP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r>
      <w:r w:rsidRPr="0083301E">
        <w:rPr>
          <w:rFonts w:ascii="Arial" w:eastAsia="Times New Roman" w:hAnsi="Arial" w:cs="Arial"/>
          <w:b/>
          <w:bCs/>
          <w:lang w:eastAsia="pl-PL"/>
        </w:rPr>
        <w:tab/>
        <w:t>Minister Klimatu i Środowiska</w:t>
      </w:r>
    </w:p>
    <w:p w:rsidR="00CE008B" w:rsidRPr="0083301E" w:rsidRDefault="00CE008B" w:rsidP="0083301E">
      <w:pPr>
        <w:spacing w:after="0" w:line="276" w:lineRule="auto"/>
        <w:jc w:val="both"/>
        <w:rPr>
          <w:rFonts w:ascii="Arial" w:eastAsia="Times New Roman" w:hAnsi="Arial" w:cs="Arial"/>
          <w:b/>
          <w:bCs/>
          <w:lang w:eastAsia="pl-PL"/>
        </w:rPr>
      </w:pPr>
    </w:p>
    <w:p w:rsidR="00CE008B" w:rsidRPr="0083301E" w:rsidRDefault="00CE008B" w:rsidP="0083301E">
      <w:pPr>
        <w:spacing w:after="0" w:line="276" w:lineRule="auto"/>
        <w:jc w:val="both"/>
        <w:rPr>
          <w:rFonts w:ascii="Arial" w:eastAsia="Times New Roman" w:hAnsi="Arial" w:cs="Arial"/>
          <w:b/>
          <w:bCs/>
          <w:lang w:eastAsia="pl-PL"/>
        </w:rPr>
      </w:pPr>
    </w:p>
    <w:p w:rsidR="00CE008B" w:rsidRPr="0083301E" w:rsidRDefault="00CE008B" w:rsidP="0083301E">
      <w:pPr>
        <w:spacing w:after="0" w:line="276" w:lineRule="auto"/>
        <w:jc w:val="both"/>
        <w:rPr>
          <w:rFonts w:ascii="Arial" w:eastAsia="Times New Roman" w:hAnsi="Arial" w:cs="Arial"/>
          <w:b/>
          <w:bCs/>
          <w:lang w:eastAsia="pl-PL"/>
        </w:rPr>
      </w:pPr>
    </w:p>
    <w:p w:rsidR="00CE008B" w:rsidRPr="0083301E" w:rsidRDefault="00CE008B" w:rsidP="0083301E">
      <w:pPr>
        <w:spacing w:after="0" w:line="276" w:lineRule="auto"/>
        <w:jc w:val="both"/>
        <w:rPr>
          <w:rFonts w:ascii="Arial" w:eastAsia="Times New Roman" w:hAnsi="Arial" w:cs="Arial"/>
          <w:b/>
          <w:bCs/>
          <w:lang w:eastAsia="pl-PL"/>
        </w:rPr>
      </w:pPr>
    </w:p>
    <w:p w:rsidR="00CE008B" w:rsidRPr="0083301E" w:rsidRDefault="00CE008B" w:rsidP="0083301E">
      <w:pPr>
        <w:spacing w:after="0" w:line="276" w:lineRule="auto"/>
        <w:jc w:val="both"/>
        <w:rPr>
          <w:rFonts w:ascii="Arial" w:eastAsia="Times New Roman" w:hAnsi="Arial" w:cs="Arial"/>
          <w:lang w:eastAsia="pl-PL"/>
        </w:rPr>
      </w:pPr>
      <w:r w:rsidRPr="0083301E">
        <w:rPr>
          <w:rFonts w:ascii="Arial" w:eastAsia="Times New Roman" w:hAnsi="Arial" w:cs="Arial"/>
          <w:b/>
          <w:bCs/>
          <w:lang w:eastAsia="pl-PL"/>
        </w:rPr>
        <w:tab/>
      </w:r>
      <w:r w:rsidRPr="0083301E">
        <w:rPr>
          <w:rFonts w:ascii="Arial" w:eastAsia="Times New Roman" w:hAnsi="Arial" w:cs="Arial"/>
          <w:lang w:eastAsia="pl-PL"/>
        </w:rPr>
        <w:t xml:space="preserve">w odpowiedzi na wiadomość e-mail Ministerstwa Klimatu i Środowiska z 3 kwietnia 2023 r. zawierającą </w:t>
      </w:r>
      <w:r w:rsidR="00356D4D" w:rsidRPr="0083301E">
        <w:rPr>
          <w:rFonts w:ascii="Arial" w:eastAsia="Times New Roman" w:hAnsi="Arial" w:cs="Arial"/>
          <w:lang w:eastAsia="pl-PL"/>
        </w:rPr>
        <w:t>prośbę o udzielenie odpowiedzi na pytania dotyczące wniosku legislacyjnego Komisji Europejskiej do Rozporządzenia Parlamentu Europejskiego i Rady w</w:t>
      </w:r>
      <w:r w:rsidR="001D401E">
        <w:rPr>
          <w:rFonts w:ascii="Arial" w:eastAsia="Times New Roman" w:hAnsi="Arial" w:cs="Arial"/>
          <w:lang w:eastAsia="pl-PL"/>
        </w:rPr>
        <w:t> </w:t>
      </w:r>
      <w:r w:rsidR="00356D4D" w:rsidRPr="0083301E">
        <w:rPr>
          <w:rFonts w:ascii="Arial" w:eastAsia="Times New Roman" w:hAnsi="Arial" w:cs="Arial"/>
          <w:lang w:eastAsia="pl-PL"/>
        </w:rPr>
        <w:t>sprawie opakowań i odpadów opakowaniowych, zmieniające rozporządzenie (UE) 2019/1020 i dyrektywę (UE) 2019/904 oraz uchylające dyrektywę 94/62/WE,</w:t>
      </w:r>
      <w:r w:rsidR="0083301E">
        <w:rPr>
          <w:rFonts w:ascii="Arial" w:eastAsia="Times New Roman" w:hAnsi="Arial" w:cs="Arial"/>
          <w:lang w:eastAsia="pl-PL"/>
        </w:rPr>
        <w:t xml:space="preserve"> zwane dalej </w:t>
      </w:r>
      <w:r w:rsidR="0083301E" w:rsidRPr="0083301E">
        <w:rPr>
          <w:rFonts w:ascii="Arial" w:eastAsia="Times New Roman" w:hAnsi="Arial" w:cs="Arial"/>
          <w:i/>
          <w:iCs/>
          <w:lang w:eastAsia="pl-PL"/>
        </w:rPr>
        <w:t>rozporządzeniem</w:t>
      </w:r>
      <w:r w:rsidR="0083301E">
        <w:rPr>
          <w:rFonts w:ascii="Arial" w:eastAsia="Times New Roman" w:hAnsi="Arial" w:cs="Arial"/>
          <w:lang w:eastAsia="pl-PL"/>
        </w:rPr>
        <w:t xml:space="preserve"> lub </w:t>
      </w:r>
      <w:r w:rsidR="00FD4866">
        <w:rPr>
          <w:rFonts w:ascii="Arial" w:eastAsia="Times New Roman" w:hAnsi="Arial" w:cs="Arial"/>
          <w:i/>
          <w:iCs/>
          <w:lang w:eastAsia="pl-PL"/>
        </w:rPr>
        <w:t>PPWR</w:t>
      </w:r>
      <w:r w:rsidR="0083301E">
        <w:rPr>
          <w:rFonts w:ascii="Arial" w:eastAsia="Times New Roman" w:hAnsi="Arial" w:cs="Arial"/>
          <w:lang w:eastAsia="pl-PL"/>
        </w:rPr>
        <w:t>,</w:t>
      </w:r>
      <w:r w:rsidR="00356D4D" w:rsidRPr="0083301E">
        <w:rPr>
          <w:rFonts w:ascii="Arial" w:eastAsia="Times New Roman" w:hAnsi="Arial" w:cs="Arial"/>
          <w:lang w:eastAsia="pl-PL"/>
        </w:rPr>
        <w:t xml:space="preserve"> Pracodawcy Rzeczypospolitej Polskiej, w ślad za swoim stanowiskiem z 3 marca 2023 r. dot. ww. wniosku (znak</w:t>
      </w:r>
      <w:r w:rsidR="00E64532">
        <w:rPr>
          <w:rFonts w:ascii="Arial" w:eastAsia="Times New Roman" w:hAnsi="Arial" w:cs="Arial"/>
          <w:lang w:eastAsia="pl-PL"/>
        </w:rPr>
        <w:t>:</w:t>
      </w:r>
      <w:r w:rsidR="00356D4D" w:rsidRPr="0083301E">
        <w:rPr>
          <w:rFonts w:ascii="Arial" w:eastAsia="Times New Roman" w:hAnsi="Arial" w:cs="Arial"/>
          <w:lang w:eastAsia="pl-PL"/>
        </w:rPr>
        <w:t xml:space="preserve"> ZDG/DAiL/0090/03.23/MS-JP), poniżej przedstawiają swoje odpowiedzi z uprzejmą prośbą o ich przyjęcie. </w:t>
      </w:r>
    </w:p>
    <w:p w:rsidR="00356D4D" w:rsidRPr="0083301E" w:rsidRDefault="00356D4D" w:rsidP="0083301E">
      <w:pPr>
        <w:spacing w:after="0" w:line="276" w:lineRule="auto"/>
        <w:jc w:val="both"/>
        <w:rPr>
          <w:rFonts w:ascii="Arial" w:eastAsia="Times New Roman" w:hAnsi="Arial" w:cs="Arial"/>
          <w:lang w:eastAsia="pl-PL"/>
        </w:rPr>
      </w:pPr>
      <w:r w:rsidRPr="0083301E">
        <w:rPr>
          <w:rFonts w:ascii="Arial" w:eastAsia="Times New Roman" w:hAnsi="Arial" w:cs="Arial"/>
          <w:lang w:eastAsia="pl-PL"/>
        </w:rPr>
        <w:tab/>
      </w:r>
    </w:p>
    <w:p w:rsidR="00356D4D" w:rsidRPr="0083301E" w:rsidRDefault="003443C5" w:rsidP="0083301E">
      <w:pPr>
        <w:pStyle w:val="Akapitzlist"/>
        <w:numPr>
          <w:ilvl w:val="0"/>
          <w:numId w:val="1"/>
        </w:numPr>
        <w:shd w:val="clear" w:color="auto" w:fill="FFFFFF"/>
        <w:spacing w:after="0" w:line="276" w:lineRule="auto"/>
        <w:ind w:left="567" w:hanging="567"/>
        <w:jc w:val="both"/>
        <w:rPr>
          <w:rFonts w:ascii="Arial" w:eastAsia="Times New Roman" w:hAnsi="Arial" w:cs="Arial"/>
          <w:b/>
          <w:bCs/>
          <w:color w:val="808080"/>
          <w:lang w:eastAsia="pl-PL"/>
        </w:rPr>
      </w:pPr>
      <w:r w:rsidRPr="0083301E">
        <w:rPr>
          <w:rFonts w:ascii="Arial" w:eastAsia="Times New Roman" w:hAnsi="Arial" w:cs="Arial"/>
          <w:b/>
          <w:bCs/>
          <w:color w:val="808080"/>
          <w:lang w:eastAsia="pl-PL"/>
        </w:rPr>
        <w:t>[Artykuł 5 </w:t>
      </w:r>
      <w:r w:rsidRPr="0083301E">
        <w:rPr>
          <w:rFonts w:ascii="Arial" w:eastAsia="Times New Roman" w:hAnsi="Arial" w:cs="Arial"/>
          <w:i/>
          <w:iCs/>
          <w:color w:val="808080"/>
          <w:lang w:eastAsia="pl-PL"/>
        </w:rPr>
        <w:t>Wymogi dotyczące substancji w opakowaniach</w:t>
      </w:r>
      <w:r w:rsidRPr="0083301E">
        <w:rPr>
          <w:rFonts w:ascii="Arial" w:eastAsia="Times New Roman" w:hAnsi="Arial" w:cs="Arial"/>
          <w:color w:val="808080"/>
          <w:lang w:eastAsia="pl-PL"/>
        </w:rPr>
        <w:t>]</w:t>
      </w:r>
    </w:p>
    <w:p w:rsidR="00356D4D" w:rsidRPr="0083301E" w:rsidRDefault="003443C5" w:rsidP="0083301E">
      <w:pPr>
        <w:pStyle w:val="Akapitzlist"/>
        <w:shd w:val="clear" w:color="auto" w:fill="FFFFFF"/>
        <w:spacing w:after="0" w:line="276" w:lineRule="auto"/>
        <w:ind w:left="567"/>
        <w:jc w:val="both"/>
        <w:rPr>
          <w:rFonts w:ascii="Arial" w:eastAsia="Times New Roman" w:hAnsi="Arial" w:cs="Arial"/>
          <w:b/>
          <w:bCs/>
          <w:color w:val="000000"/>
          <w:lang w:eastAsia="pl-PL"/>
        </w:rPr>
      </w:pPr>
      <w:r w:rsidRPr="0083301E">
        <w:rPr>
          <w:rFonts w:ascii="Arial" w:eastAsia="Times New Roman" w:hAnsi="Arial" w:cs="Arial"/>
          <w:b/>
          <w:bCs/>
          <w:color w:val="000000"/>
          <w:lang w:eastAsia="pl-PL"/>
        </w:rPr>
        <w:t>Czy brzmienie art. 5 może sugerować, że dodawanie nowych ograniczeń dotyczących substancji w opakowaniach lub składnikach opakowań z powodów związanych przede wszystkim z bezpieczeństwem chemicznym wchodzi w zakres PPWR, jeśli tak: czy konieczne jest dodanie wyjaśnień w celu jednoznacznego wskazania, że dodawanie tych ograniczeń nie wchodzi w zakres PPWR?</w:t>
      </w:r>
    </w:p>
    <w:p w:rsidR="00356D4D" w:rsidRPr="0083301E" w:rsidRDefault="00356D4D" w:rsidP="0083301E">
      <w:pPr>
        <w:pStyle w:val="Akapitzlist"/>
        <w:shd w:val="clear" w:color="auto" w:fill="FFFFFF"/>
        <w:spacing w:after="0" w:line="276" w:lineRule="auto"/>
        <w:ind w:left="567"/>
        <w:jc w:val="both"/>
        <w:rPr>
          <w:rFonts w:ascii="Arial" w:eastAsia="Times New Roman" w:hAnsi="Arial" w:cs="Arial"/>
          <w:b/>
          <w:bCs/>
          <w:color w:val="000000"/>
          <w:lang w:eastAsia="pl-PL"/>
        </w:rPr>
      </w:pPr>
    </w:p>
    <w:p w:rsidR="00356D4D" w:rsidRDefault="00356D4D" w:rsidP="0083301E">
      <w:pPr>
        <w:pStyle w:val="Akapitzlist"/>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color w:val="000000"/>
          <w:u w:val="single"/>
          <w:lang w:eastAsia="pl-PL"/>
        </w:rPr>
        <w:t xml:space="preserve">ODPOWIEDŹ: </w:t>
      </w:r>
    </w:p>
    <w:p w:rsidR="00FF305E" w:rsidRPr="00FF305E" w:rsidRDefault="0083301E" w:rsidP="00FF305E">
      <w:pPr>
        <w:pStyle w:val="Akapitzlist"/>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xml:space="preserve">W ocenie Pracodawców RP obecne brzmienie art. 5 </w:t>
      </w:r>
      <w:r w:rsidR="00FD4866">
        <w:rPr>
          <w:rFonts w:ascii="Arial" w:eastAsia="Times New Roman" w:hAnsi="Arial" w:cs="Arial"/>
          <w:color w:val="000000"/>
          <w:lang w:eastAsia="pl-PL"/>
        </w:rPr>
        <w:t>PPWR</w:t>
      </w:r>
      <w:r>
        <w:rPr>
          <w:rFonts w:ascii="Arial" w:eastAsia="Times New Roman" w:hAnsi="Arial" w:cs="Arial"/>
          <w:color w:val="000000"/>
          <w:lang w:eastAsia="pl-PL"/>
        </w:rPr>
        <w:t xml:space="preserve"> sugeruje możliwość wprowadzania nowych regulacji i ograniczeń dotyczących substancji w opakowaniach lub składnikach opakowań z powodów związanych przed wszystkim z bezpieczeństwem chemicznym, dlatego należałoby doprecyzować tę kwestię, mając jednocześnie na uwadze, że rozporządzenie REACH jest najwłaściwszym aktem, który powinien regulować przedmiotową kwestię. </w:t>
      </w:r>
      <w:r w:rsidR="00FF305E">
        <w:rPr>
          <w:rFonts w:ascii="Arial" w:eastAsia="Times New Roman" w:hAnsi="Arial" w:cs="Arial"/>
          <w:color w:val="000000"/>
          <w:lang w:eastAsia="pl-PL"/>
        </w:rPr>
        <w:t xml:space="preserve">Wymagania związane z zawartością substancji chemicznych powinny zostać uregulowane w jednym akcie prawnym. Rozpraszanie tych wymogów na wiele aktów spowoduje chaos legislacyjny, w konsekwencji czego przepisy w tym obszarze nie będą przejrzyste dla </w:t>
      </w:r>
      <w:r w:rsidR="00AF52E1">
        <w:rPr>
          <w:rFonts w:ascii="Arial" w:eastAsia="Times New Roman" w:hAnsi="Arial" w:cs="Arial"/>
          <w:color w:val="000000"/>
          <w:lang w:eastAsia="pl-PL"/>
        </w:rPr>
        <w:t>odbiorców</w:t>
      </w:r>
      <w:r w:rsidR="00FA7F76">
        <w:rPr>
          <w:rFonts w:ascii="Arial" w:eastAsia="Times New Roman" w:hAnsi="Arial" w:cs="Arial"/>
          <w:color w:val="000000"/>
          <w:lang w:eastAsia="pl-PL"/>
        </w:rPr>
        <w:t xml:space="preserve">. Ponadto rozwiązanie takie przyczyni się do powstania barier gospodarczych. </w:t>
      </w:r>
      <w:r w:rsidR="00FF305E">
        <w:rPr>
          <w:rFonts w:ascii="Arial" w:eastAsia="Times New Roman" w:hAnsi="Arial" w:cs="Arial"/>
          <w:color w:val="000000"/>
          <w:lang w:eastAsia="pl-PL"/>
        </w:rPr>
        <w:t xml:space="preserve"> </w:t>
      </w:r>
    </w:p>
    <w:p w:rsidR="00356D4D" w:rsidRPr="0083301E" w:rsidRDefault="00356D4D" w:rsidP="0083301E">
      <w:pPr>
        <w:pStyle w:val="Akapitzlist"/>
        <w:shd w:val="clear" w:color="auto" w:fill="FFFFFF"/>
        <w:spacing w:after="0" w:line="276" w:lineRule="auto"/>
        <w:ind w:left="567"/>
        <w:jc w:val="both"/>
        <w:rPr>
          <w:rFonts w:ascii="Arial" w:eastAsia="Times New Roman" w:hAnsi="Arial" w:cs="Arial"/>
          <w:b/>
          <w:bCs/>
          <w:color w:val="000000"/>
          <w:lang w:eastAsia="pl-PL"/>
        </w:rPr>
      </w:pPr>
    </w:p>
    <w:p w:rsidR="003443C5" w:rsidRPr="0083301E" w:rsidRDefault="003443C5" w:rsidP="0083301E">
      <w:pPr>
        <w:pStyle w:val="Akapitzlist"/>
        <w:numPr>
          <w:ilvl w:val="0"/>
          <w:numId w:val="1"/>
        </w:numPr>
        <w:shd w:val="clear" w:color="auto" w:fill="FFFFFF"/>
        <w:spacing w:after="0" w:line="276" w:lineRule="auto"/>
        <w:ind w:left="567" w:hanging="567"/>
        <w:jc w:val="both"/>
        <w:rPr>
          <w:rFonts w:ascii="Arial" w:eastAsia="Times New Roman" w:hAnsi="Arial" w:cs="Arial"/>
          <w:b/>
          <w:bCs/>
          <w:color w:val="808080"/>
          <w:lang w:eastAsia="pl-PL"/>
        </w:rPr>
      </w:pPr>
      <w:r w:rsidRPr="0083301E">
        <w:rPr>
          <w:rFonts w:ascii="Arial" w:eastAsia="Times New Roman" w:hAnsi="Arial" w:cs="Arial"/>
          <w:b/>
          <w:bCs/>
          <w:color w:val="000000"/>
          <w:lang w:eastAsia="pl-PL"/>
        </w:rPr>
        <w:t>Jeśli istnieje konieczność doprecyzowania proszę o wskazanie, co powinien zawierać akt delegowany, o którym mowa w ust. 5?</w:t>
      </w:r>
    </w:p>
    <w:p w:rsidR="00356D4D" w:rsidRPr="0083301E" w:rsidRDefault="00356D4D" w:rsidP="0083301E">
      <w:pPr>
        <w:shd w:val="clear" w:color="auto" w:fill="FFFFFF"/>
        <w:spacing w:after="0" w:line="276" w:lineRule="auto"/>
        <w:ind w:left="567"/>
        <w:jc w:val="both"/>
        <w:rPr>
          <w:rFonts w:ascii="Arial" w:eastAsia="Times New Roman" w:hAnsi="Arial" w:cs="Arial"/>
          <w:b/>
          <w:bCs/>
          <w:color w:val="808080"/>
          <w:lang w:eastAsia="pl-PL"/>
        </w:rPr>
      </w:pPr>
    </w:p>
    <w:p w:rsidR="00FA7F76" w:rsidRDefault="00356D4D" w:rsidP="0083301E">
      <w:pPr>
        <w:shd w:val="clear" w:color="auto" w:fill="FFFFFF"/>
        <w:spacing w:after="0" w:line="276" w:lineRule="auto"/>
        <w:ind w:left="567"/>
        <w:jc w:val="both"/>
        <w:rPr>
          <w:rFonts w:ascii="Arial" w:eastAsia="Times New Roman" w:hAnsi="Arial" w:cs="Arial"/>
          <w:u w:val="single"/>
          <w:lang w:eastAsia="pl-PL"/>
        </w:rPr>
      </w:pPr>
      <w:r w:rsidRPr="0083301E">
        <w:rPr>
          <w:rFonts w:ascii="Arial" w:eastAsia="Times New Roman" w:hAnsi="Arial" w:cs="Arial"/>
          <w:u w:val="single"/>
          <w:lang w:eastAsia="pl-PL"/>
        </w:rPr>
        <w:t>ODPOWIEDŹ:</w:t>
      </w:r>
    </w:p>
    <w:p w:rsidR="00356D4D" w:rsidRPr="0083301E" w:rsidRDefault="00FA7F76" w:rsidP="0083301E">
      <w:pPr>
        <w:shd w:val="clear" w:color="auto" w:fill="FFFFFF"/>
        <w:spacing w:after="0" w:line="276" w:lineRule="auto"/>
        <w:ind w:left="567"/>
        <w:jc w:val="both"/>
        <w:rPr>
          <w:rFonts w:ascii="Arial" w:eastAsia="Times New Roman" w:hAnsi="Arial" w:cs="Arial"/>
          <w:u w:val="single"/>
          <w:lang w:eastAsia="pl-PL"/>
        </w:rPr>
      </w:pPr>
      <w:r w:rsidRPr="00FA7F76">
        <w:rPr>
          <w:rFonts w:ascii="Arial" w:eastAsia="Times New Roman" w:hAnsi="Arial" w:cs="Arial"/>
          <w:lang w:eastAsia="pl-PL"/>
        </w:rPr>
        <w:t>Brak</w:t>
      </w:r>
      <w:r w:rsidR="00902D63">
        <w:rPr>
          <w:rFonts w:ascii="Arial" w:eastAsia="Times New Roman" w:hAnsi="Arial" w:cs="Arial"/>
          <w:lang w:eastAsia="pl-PL"/>
        </w:rPr>
        <w:t>.</w:t>
      </w:r>
    </w:p>
    <w:p w:rsidR="00356D4D" w:rsidRPr="0083301E" w:rsidRDefault="00356D4D" w:rsidP="0083301E">
      <w:pPr>
        <w:pStyle w:val="Akapitzlist"/>
        <w:shd w:val="clear" w:color="auto" w:fill="FFFFFF"/>
        <w:spacing w:after="0" w:line="276" w:lineRule="auto"/>
        <w:ind w:left="567"/>
        <w:jc w:val="both"/>
        <w:rPr>
          <w:rFonts w:ascii="Arial" w:eastAsia="Times New Roman" w:hAnsi="Arial" w:cs="Arial"/>
          <w:b/>
          <w:bCs/>
          <w:color w:val="808080"/>
          <w:lang w:eastAsia="pl-PL"/>
        </w:rPr>
      </w:pPr>
    </w:p>
    <w:p w:rsidR="00356D4D" w:rsidRPr="0083301E" w:rsidRDefault="003443C5" w:rsidP="0083301E">
      <w:pPr>
        <w:pStyle w:val="Akapitzlist"/>
        <w:numPr>
          <w:ilvl w:val="0"/>
          <w:numId w:val="1"/>
        </w:numPr>
        <w:shd w:val="clear" w:color="auto" w:fill="FFFFFF"/>
        <w:spacing w:after="0" w:line="276" w:lineRule="auto"/>
        <w:ind w:left="567" w:hanging="567"/>
        <w:jc w:val="both"/>
        <w:rPr>
          <w:rFonts w:ascii="Arial" w:eastAsia="Times New Roman" w:hAnsi="Arial" w:cs="Arial"/>
          <w:b/>
          <w:bCs/>
          <w:color w:val="808080"/>
          <w:lang w:eastAsia="pl-PL"/>
        </w:rPr>
      </w:pPr>
      <w:r w:rsidRPr="0083301E">
        <w:rPr>
          <w:rFonts w:ascii="Arial" w:eastAsia="Times New Roman" w:hAnsi="Arial" w:cs="Arial"/>
          <w:b/>
          <w:bCs/>
          <w:color w:val="808080"/>
          <w:lang w:eastAsia="pl-PL"/>
        </w:rPr>
        <w:t>[Artykuł 6 </w:t>
      </w:r>
      <w:r w:rsidRPr="0083301E">
        <w:rPr>
          <w:rFonts w:ascii="Arial" w:eastAsia="Times New Roman" w:hAnsi="Arial" w:cs="Arial"/>
          <w:i/>
          <w:iCs/>
          <w:color w:val="808080"/>
          <w:lang w:eastAsia="pl-PL"/>
        </w:rPr>
        <w:t>Opakowania nadające się do recyklingu</w:t>
      </w:r>
      <w:r w:rsidRPr="0083301E">
        <w:rPr>
          <w:rFonts w:ascii="Arial" w:eastAsia="Times New Roman" w:hAnsi="Arial" w:cs="Arial"/>
          <w:color w:val="808080"/>
          <w:lang w:eastAsia="pl-PL"/>
        </w:rPr>
        <w:t>]</w:t>
      </w:r>
    </w:p>
    <w:p w:rsidR="003443C5" w:rsidRPr="0083301E" w:rsidRDefault="003443C5" w:rsidP="0083301E">
      <w:pPr>
        <w:shd w:val="clear" w:color="auto" w:fill="FFFFFF"/>
        <w:spacing w:after="0" w:line="276" w:lineRule="auto"/>
        <w:ind w:left="567"/>
        <w:jc w:val="both"/>
        <w:rPr>
          <w:rFonts w:ascii="Arial" w:eastAsia="Times New Roman" w:hAnsi="Arial" w:cs="Arial"/>
          <w:b/>
          <w:bCs/>
          <w:color w:val="808080"/>
          <w:lang w:eastAsia="pl-PL"/>
        </w:rPr>
      </w:pPr>
      <w:r w:rsidRPr="0083301E">
        <w:rPr>
          <w:rFonts w:ascii="Arial" w:eastAsia="Times New Roman" w:hAnsi="Arial" w:cs="Arial"/>
          <w:b/>
          <w:bCs/>
          <w:color w:val="000000"/>
          <w:lang w:eastAsia="pl-PL"/>
        </w:rPr>
        <w:lastRenderedPageBreak/>
        <w:t>Czy poniżej zaproponowane pojęcia recyklingu materiałów (material recycling) oraz recyklingu wysokiej jakości (high quality recycling) są właściwe?</w:t>
      </w:r>
    </w:p>
    <w:p w:rsidR="003443C5" w:rsidRPr="0083301E" w:rsidRDefault="003443C5" w:rsidP="0083301E">
      <w:pPr>
        <w:shd w:val="clear" w:color="auto" w:fill="FFFFFF"/>
        <w:spacing w:after="0" w:line="276" w:lineRule="auto"/>
        <w:jc w:val="both"/>
        <w:rPr>
          <w:rFonts w:ascii="Arial" w:eastAsia="Times New Roman" w:hAnsi="Arial" w:cs="Arial"/>
          <w:color w:val="000000"/>
          <w:lang w:eastAsia="pl-PL"/>
        </w:rPr>
      </w:pP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i/>
          <w:iCs/>
          <w:color w:val="000000"/>
          <w:lang w:eastAsia="pl-PL"/>
        </w:rPr>
        <w:t>"Recykling materiałów" powinien oznaczać jakikolwiek proces odzysku inny niż biologiczne przetwarzanie odpadów, w ramach którego materiały odpadowe są ponownie przetwarzane na materiały lub substancje wykorzystywane w pierwotnym celu lub innych celach i nie obejmuje odzysku energii i ponownego przetwarzania na</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materiały, które mają być wykorzystane jako paliwa lub do celów wypełniania wyrobisk.</w:t>
      </w:r>
    </w:p>
    <w:p w:rsidR="003443C5" w:rsidRPr="0083301E" w:rsidRDefault="003443C5" w:rsidP="0083301E">
      <w:pPr>
        <w:shd w:val="clear" w:color="auto" w:fill="FFFFFF"/>
        <w:spacing w:after="0" w:line="276" w:lineRule="auto"/>
        <w:jc w:val="both"/>
        <w:rPr>
          <w:rFonts w:ascii="Arial" w:eastAsia="Times New Roman" w:hAnsi="Arial" w:cs="Arial"/>
          <w:color w:val="000000"/>
          <w:lang w:eastAsia="pl-PL"/>
        </w:rPr>
      </w:pPr>
    </w:p>
    <w:p w:rsidR="00FA7F76" w:rsidRDefault="003443C5" w:rsidP="00FA7F76">
      <w:pPr>
        <w:shd w:val="clear" w:color="auto" w:fill="FFFFFF"/>
        <w:spacing w:after="0" w:line="276" w:lineRule="auto"/>
        <w:ind w:left="567"/>
        <w:jc w:val="both"/>
        <w:rPr>
          <w:rFonts w:ascii="Arial" w:eastAsia="Times New Roman" w:hAnsi="Arial" w:cs="Arial"/>
          <w:i/>
          <w:iCs/>
          <w:color w:val="000000"/>
          <w:lang w:eastAsia="pl-PL"/>
        </w:rPr>
      </w:pPr>
      <w:r w:rsidRPr="0083301E">
        <w:rPr>
          <w:rFonts w:ascii="Arial" w:eastAsia="Times New Roman" w:hAnsi="Arial" w:cs="Arial"/>
          <w:i/>
          <w:iCs/>
          <w:color w:val="000000"/>
          <w:lang w:eastAsia="pl-PL"/>
        </w:rPr>
        <w:t>"Wysoka jakość recyklingu" oznacza, że materiały poddane recyklingowi, w oparciu o</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zachowane właściwości techniczne, mają wystarczającą jakość, aby mogły być stosowane jako substytut surowców pierwotnych w zastosowaniach opakowaniowych.</w:t>
      </w:r>
    </w:p>
    <w:p w:rsidR="00FA7F76" w:rsidRDefault="00FA7F76" w:rsidP="00FA7F76">
      <w:pPr>
        <w:shd w:val="clear" w:color="auto" w:fill="FFFFFF"/>
        <w:spacing w:after="0" w:line="276" w:lineRule="auto"/>
        <w:ind w:left="567"/>
        <w:jc w:val="both"/>
        <w:rPr>
          <w:rFonts w:ascii="Arial" w:eastAsia="Times New Roman" w:hAnsi="Arial" w:cs="Arial"/>
          <w:i/>
          <w:iCs/>
          <w:color w:val="000000"/>
          <w:lang w:eastAsia="pl-PL"/>
        </w:rPr>
      </w:pPr>
    </w:p>
    <w:p w:rsidR="00FA7F76" w:rsidRDefault="00FA7F76" w:rsidP="00FA7F76">
      <w:pPr>
        <w:shd w:val="clear" w:color="auto" w:fill="FFFFFF"/>
        <w:spacing w:after="0" w:line="276" w:lineRule="auto"/>
        <w:ind w:left="567"/>
        <w:jc w:val="both"/>
        <w:rPr>
          <w:rFonts w:ascii="Arial" w:eastAsia="Times New Roman" w:hAnsi="Arial" w:cs="Arial"/>
          <w:color w:val="000000"/>
          <w:u w:val="single"/>
          <w:lang w:eastAsia="pl-PL"/>
        </w:rPr>
      </w:pPr>
      <w:r>
        <w:rPr>
          <w:rFonts w:ascii="Arial" w:eastAsia="Times New Roman" w:hAnsi="Arial" w:cs="Arial"/>
          <w:color w:val="000000"/>
          <w:u w:val="single"/>
          <w:lang w:eastAsia="pl-PL"/>
        </w:rPr>
        <w:t>ODPOWIEDŹ:</w:t>
      </w:r>
    </w:p>
    <w:p w:rsidR="00FA7F76" w:rsidRDefault="00FA7F76" w:rsidP="00FA7F76">
      <w:pPr>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xml:space="preserve">W odniesieniu do definicji „recyklingu materiałów” wskazujemy, że definicja ta powinna być poszerzona o recykling chemiczny jako równoprawna technologia recyklingu. </w:t>
      </w:r>
    </w:p>
    <w:p w:rsidR="000633E1" w:rsidRDefault="000633E1" w:rsidP="00FA7F76">
      <w:pPr>
        <w:shd w:val="clear" w:color="auto" w:fill="FFFFFF"/>
        <w:spacing w:after="0" w:line="276" w:lineRule="auto"/>
        <w:ind w:left="567"/>
        <w:jc w:val="both"/>
        <w:rPr>
          <w:rFonts w:ascii="Arial" w:eastAsia="Times New Roman" w:hAnsi="Arial" w:cs="Arial"/>
          <w:color w:val="000000"/>
          <w:lang w:eastAsia="pl-PL"/>
        </w:rPr>
      </w:pPr>
    </w:p>
    <w:p w:rsidR="000633E1" w:rsidRDefault="000633E1" w:rsidP="000633E1">
      <w:pPr>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Z kolei w zakresie definicji „wysokiej jakości recyklingu” proponujemy rozważenie wprowadzenia bardziej precyzyjnej definicji o następującym brzmieniu:</w:t>
      </w:r>
    </w:p>
    <w:p w:rsidR="000633E1" w:rsidRPr="00FA7F76" w:rsidRDefault="000633E1" w:rsidP="000633E1">
      <w:pPr>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„Recykling wysokiej jakości to każda operacja odzysku, o której mowa w art. 3 pkt 17) dyrektywy 2008/98/WE, która zapewnia zachowanie lub odzyskiwanie szczególnej jakości zebranych materiałów odpadowych podczas takiej operacji odzysku, tak aby umożliwiała dalszą recyklowalność, a materiał ten mógł być ponownie wykorzystany w</w:t>
      </w:r>
      <w:r w:rsidR="001D401E">
        <w:rPr>
          <w:rFonts w:ascii="Arial" w:eastAsia="Times New Roman" w:hAnsi="Arial" w:cs="Arial"/>
          <w:color w:val="000000"/>
          <w:lang w:eastAsia="pl-PL"/>
        </w:rPr>
        <w:t> </w:t>
      </w:r>
      <w:r>
        <w:rPr>
          <w:rFonts w:ascii="Arial" w:eastAsia="Times New Roman" w:hAnsi="Arial" w:cs="Arial"/>
          <w:color w:val="000000"/>
          <w:lang w:eastAsia="pl-PL"/>
        </w:rPr>
        <w:t>ten sam sposób i do podobnego zastosowania, przy minimalnej utracie ilości, jakości lub funkcji.”</w:t>
      </w:r>
    </w:p>
    <w:p w:rsidR="003443C5" w:rsidRPr="0083301E" w:rsidRDefault="003443C5" w:rsidP="0083301E">
      <w:pPr>
        <w:shd w:val="clear" w:color="auto" w:fill="FFFFFF"/>
        <w:spacing w:after="0" w:line="276" w:lineRule="auto"/>
        <w:jc w:val="both"/>
        <w:rPr>
          <w:rFonts w:ascii="Arial" w:eastAsia="Times New Roman" w:hAnsi="Arial" w:cs="Arial"/>
          <w:color w:val="000000"/>
          <w:lang w:eastAsia="pl-PL"/>
        </w:rPr>
      </w:pPr>
    </w:p>
    <w:p w:rsidR="003443C5" w:rsidRPr="0083301E" w:rsidRDefault="003443C5" w:rsidP="0083301E">
      <w:pPr>
        <w:pStyle w:val="Akapitzlist"/>
        <w:numPr>
          <w:ilvl w:val="0"/>
          <w:numId w:val="1"/>
        </w:numPr>
        <w:shd w:val="clear" w:color="auto" w:fill="FFFFFF"/>
        <w:spacing w:after="0" w:line="276" w:lineRule="auto"/>
        <w:ind w:left="567" w:hanging="567"/>
        <w:jc w:val="both"/>
        <w:rPr>
          <w:rFonts w:ascii="Arial" w:eastAsia="Times New Roman" w:hAnsi="Arial" w:cs="Arial"/>
          <w:b/>
          <w:bCs/>
          <w:color w:val="000000"/>
          <w:lang w:eastAsia="pl-PL"/>
        </w:rPr>
      </w:pPr>
      <w:r w:rsidRPr="0083301E">
        <w:rPr>
          <w:rFonts w:ascii="Arial" w:eastAsia="Times New Roman" w:hAnsi="Arial" w:cs="Arial"/>
          <w:b/>
          <w:bCs/>
          <w:color w:val="000000"/>
          <w:lang w:eastAsia="pl-PL"/>
        </w:rPr>
        <w:t>Jakie parametry służące określeniu kryteriów projektowania z myślą o recyklingu na mocy art. 6 powinny zostać</w:t>
      </w:r>
      <w:r w:rsidRPr="0083301E">
        <w:rPr>
          <w:rFonts w:ascii="Arial" w:eastAsia="Times New Roman" w:hAnsi="Arial" w:cs="Arial"/>
          <w:color w:val="000000"/>
          <w:lang w:eastAsia="pl-PL"/>
        </w:rPr>
        <w:t> </w:t>
      </w:r>
      <w:r w:rsidRPr="0083301E">
        <w:rPr>
          <w:rFonts w:ascii="Arial" w:eastAsia="Times New Roman" w:hAnsi="Arial" w:cs="Arial"/>
          <w:b/>
          <w:bCs/>
          <w:color w:val="000000"/>
          <w:lang w:eastAsia="pl-PL"/>
        </w:rPr>
        <w:t>zawarte w załączniku do PPWR oraz co należy uwzględniać w ocenie tych parametrów?</w:t>
      </w:r>
    </w:p>
    <w:p w:rsidR="003443C5" w:rsidRPr="0083301E" w:rsidRDefault="003443C5" w:rsidP="0083301E">
      <w:pPr>
        <w:shd w:val="clear" w:color="auto" w:fill="FFFFFF"/>
        <w:spacing w:after="0" w:line="276" w:lineRule="auto"/>
        <w:jc w:val="both"/>
        <w:rPr>
          <w:rFonts w:ascii="Arial" w:eastAsia="Times New Roman" w:hAnsi="Arial" w:cs="Arial"/>
          <w:color w:val="000000"/>
          <w:lang w:eastAsia="pl-PL"/>
        </w:rPr>
      </w:pP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i/>
          <w:iCs/>
          <w:color w:val="000000"/>
          <w:lang w:eastAsia="pl-PL"/>
        </w:rPr>
        <w:t>Proponowane parametry: dodatki, etykiety/rękawy, system zamykania i małe części, kleje, kolor, skład materiałowy, bariery/powłoki, farby/druk, pozostałości produktu/łatwość opróżniania, łatwość demontażu (cecha konstrukcyjna opakowania).</w:t>
      </w: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p>
    <w:p w:rsidR="003443C5" w:rsidRPr="0083301E" w:rsidRDefault="003443C5" w:rsidP="0083301E">
      <w:pPr>
        <w:shd w:val="clear" w:color="auto" w:fill="FFFFFF"/>
        <w:spacing w:after="0" w:line="276" w:lineRule="auto"/>
        <w:ind w:left="567"/>
        <w:jc w:val="both"/>
        <w:rPr>
          <w:rFonts w:ascii="Arial" w:eastAsia="Times New Roman" w:hAnsi="Arial" w:cs="Arial"/>
          <w:i/>
          <w:iCs/>
          <w:color w:val="000000"/>
          <w:lang w:eastAsia="pl-PL"/>
        </w:rPr>
      </w:pPr>
      <w:r w:rsidRPr="0083301E">
        <w:rPr>
          <w:rFonts w:ascii="Arial" w:eastAsia="Times New Roman" w:hAnsi="Arial" w:cs="Arial"/>
          <w:i/>
          <w:iCs/>
          <w:color w:val="000000"/>
          <w:lang w:eastAsia="pl-PL"/>
        </w:rPr>
        <w:t xml:space="preserve">W ocenie tych parametrów należy uwzględnić: </w:t>
      </w:r>
    </w:p>
    <w:p w:rsidR="003443C5" w:rsidRPr="0083301E" w:rsidRDefault="003443C5" w:rsidP="0083301E">
      <w:pPr>
        <w:shd w:val="clear" w:color="auto" w:fill="FFFFFF"/>
        <w:spacing w:after="0" w:line="276" w:lineRule="auto"/>
        <w:ind w:left="567"/>
        <w:jc w:val="both"/>
        <w:rPr>
          <w:rFonts w:ascii="Arial" w:eastAsia="Times New Roman" w:hAnsi="Arial" w:cs="Arial"/>
          <w:i/>
          <w:iCs/>
          <w:color w:val="000000"/>
          <w:lang w:eastAsia="pl-PL"/>
        </w:rPr>
      </w:pPr>
      <w:r w:rsidRPr="0083301E">
        <w:rPr>
          <w:rFonts w:ascii="Arial" w:eastAsia="Times New Roman" w:hAnsi="Arial" w:cs="Arial"/>
          <w:i/>
          <w:iCs/>
          <w:color w:val="000000"/>
          <w:lang w:eastAsia="pl-PL"/>
        </w:rPr>
        <w:t xml:space="preserve">- możliwość oddzielenia każdego składnika opakowania, zarówno ręcznie przez konsumentów, jak i w zakładach, przetwórczych, </w:t>
      </w:r>
    </w:p>
    <w:p w:rsidR="003443C5" w:rsidRPr="0083301E" w:rsidRDefault="003443C5" w:rsidP="0083301E">
      <w:pPr>
        <w:shd w:val="clear" w:color="auto" w:fill="FFFFFF"/>
        <w:spacing w:after="0" w:line="276" w:lineRule="auto"/>
        <w:ind w:left="567"/>
        <w:jc w:val="both"/>
        <w:rPr>
          <w:rFonts w:ascii="Arial" w:eastAsia="Times New Roman" w:hAnsi="Arial" w:cs="Arial"/>
          <w:i/>
          <w:iCs/>
          <w:color w:val="000000"/>
          <w:lang w:eastAsia="pl-PL"/>
        </w:rPr>
      </w:pPr>
      <w:r w:rsidRPr="0083301E">
        <w:rPr>
          <w:rFonts w:ascii="Arial" w:eastAsia="Times New Roman" w:hAnsi="Arial" w:cs="Arial"/>
          <w:i/>
          <w:iCs/>
          <w:color w:val="000000"/>
          <w:lang w:eastAsia="pl-PL"/>
        </w:rPr>
        <w:t xml:space="preserve">- wydajność procesów sortowania i recyklingu, np. wydajność, oraz </w:t>
      </w: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i/>
          <w:iCs/>
          <w:color w:val="000000"/>
          <w:lang w:eastAsia="pl-PL"/>
        </w:rPr>
        <w:t>- zachowanie funkcjonalności surowców wtórnych umożliwiające zastąpienie surowców pierwotnych.  </w:t>
      </w:r>
    </w:p>
    <w:p w:rsidR="003443C5" w:rsidRPr="0083301E" w:rsidRDefault="003443C5" w:rsidP="0083301E">
      <w:pPr>
        <w:shd w:val="clear" w:color="auto" w:fill="FFFFFF"/>
        <w:spacing w:after="0" w:line="276" w:lineRule="auto"/>
        <w:ind w:left="567"/>
        <w:jc w:val="both"/>
        <w:rPr>
          <w:rFonts w:ascii="Arial" w:eastAsia="Times New Roman" w:hAnsi="Arial" w:cs="Arial"/>
          <w:i/>
          <w:iCs/>
          <w:color w:val="000000"/>
          <w:lang w:eastAsia="pl-PL"/>
        </w:rPr>
      </w:pPr>
      <w:r w:rsidRPr="0083301E">
        <w:rPr>
          <w:rFonts w:ascii="Arial" w:eastAsia="Times New Roman" w:hAnsi="Arial" w:cs="Arial"/>
          <w:i/>
          <w:iCs/>
          <w:color w:val="000000"/>
          <w:lang w:eastAsia="pl-PL"/>
        </w:rPr>
        <w:br/>
        <w:t>Przy ustalaniu kryteriów projektowania z myślą o recyklingu należy uwzględnić funkcjonalność opakowania, którą zapewniają następujące parametry.</w:t>
      </w:r>
    </w:p>
    <w:p w:rsidR="00E27B78" w:rsidRPr="0083301E" w:rsidRDefault="00E27B78" w:rsidP="0083301E">
      <w:pPr>
        <w:shd w:val="clear" w:color="auto" w:fill="FFFFFF"/>
        <w:spacing w:after="0" w:line="276" w:lineRule="auto"/>
        <w:ind w:left="567"/>
        <w:jc w:val="both"/>
        <w:rPr>
          <w:rFonts w:ascii="Arial" w:eastAsia="Times New Roman" w:hAnsi="Arial" w:cs="Arial"/>
          <w:i/>
          <w:iCs/>
          <w:color w:val="000000"/>
          <w:lang w:eastAsia="pl-PL"/>
        </w:rPr>
      </w:pPr>
    </w:p>
    <w:p w:rsidR="00E27B78" w:rsidRDefault="00E27B78" w:rsidP="0083301E">
      <w:pPr>
        <w:shd w:val="clear" w:color="auto" w:fill="FFFFFF"/>
        <w:spacing w:after="0" w:line="276" w:lineRule="auto"/>
        <w:ind w:left="567"/>
        <w:jc w:val="both"/>
        <w:rPr>
          <w:rFonts w:ascii="Arial" w:eastAsia="Times New Roman" w:hAnsi="Arial" w:cs="Arial"/>
          <w:color w:val="000000"/>
          <w:u w:val="single"/>
          <w:lang w:eastAsia="pl-PL"/>
        </w:rPr>
      </w:pPr>
      <w:r w:rsidRPr="0083301E">
        <w:rPr>
          <w:rFonts w:ascii="Arial" w:eastAsia="Times New Roman" w:hAnsi="Arial" w:cs="Arial"/>
          <w:color w:val="000000"/>
          <w:u w:val="single"/>
          <w:lang w:eastAsia="pl-PL"/>
        </w:rPr>
        <w:t>ODPOWIEDŹ:</w:t>
      </w:r>
    </w:p>
    <w:p w:rsidR="00E64532" w:rsidRDefault="00851489" w:rsidP="0083301E">
      <w:pPr>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xml:space="preserve">W zakresie proponowanych parametrów podlegających ocenie, w naszej opinii powinno się wyłączyć bariery/powłoki, farby/druk, kleje i kolory. Niemniej jednak, w przypadku </w:t>
      </w:r>
      <w:r>
        <w:rPr>
          <w:rFonts w:ascii="Arial" w:eastAsia="Times New Roman" w:hAnsi="Arial" w:cs="Arial"/>
          <w:color w:val="000000"/>
          <w:lang w:eastAsia="pl-PL"/>
        </w:rPr>
        <w:lastRenderedPageBreak/>
        <w:t>pozostawienia wymienionych parametrów proponujemy, aby stosować do nich następujące wymogi:</w:t>
      </w:r>
    </w:p>
    <w:p w:rsidR="00851489" w:rsidRDefault="00851489" w:rsidP="0083301E">
      <w:pPr>
        <w:shd w:val="clear" w:color="auto" w:fill="FFFFFF"/>
        <w:spacing w:after="0" w:line="276" w:lineRule="auto"/>
        <w:ind w:left="567"/>
        <w:jc w:val="both"/>
        <w:rPr>
          <w:rFonts w:ascii="Arial" w:eastAsia="Times New Roman" w:hAnsi="Arial" w:cs="Arial"/>
          <w:color w:val="000000"/>
          <w:lang w:eastAsia="pl-PL"/>
        </w:rPr>
      </w:pPr>
    </w:p>
    <w:p w:rsidR="00851489" w:rsidRDefault="00851489" w:rsidP="00851489">
      <w:pPr>
        <w:pStyle w:val="Akapitzlist"/>
        <w:numPr>
          <w:ilvl w:val="0"/>
          <w:numId w:val="2"/>
        </w:numPr>
        <w:shd w:val="clear" w:color="auto" w:fill="FFFFFF"/>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Bariery/powłoki:</w:t>
      </w:r>
    </w:p>
    <w:p w:rsidR="004A05C7" w:rsidRDefault="004A05C7" w:rsidP="004A05C7">
      <w:pPr>
        <w:pStyle w:val="Akapitzlist"/>
        <w:numPr>
          <w:ilvl w:val="0"/>
          <w:numId w:val="3"/>
        </w:numPr>
        <w:shd w:val="clear" w:color="auto" w:fill="FFFFFF"/>
        <w:spacing w:after="0" w:line="276" w:lineRule="auto"/>
        <w:ind w:left="1418" w:hanging="425"/>
        <w:jc w:val="both"/>
        <w:rPr>
          <w:rFonts w:ascii="Arial" w:eastAsia="Times New Roman" w:hAnsi="Arial" w:cs="Arial"/>
          <w:color w:val="000000"/>
          <w:lang w:eastAsia="pl-PL"/>
        </w:rPr>
      </w:pPr>
      <w:r>
        <w:rPr>
          <w:rFonts w:ascii="Arial" w:eastAsia="Times New Roman" w:hAnsi="Arial" w:cs="Arial"/>
          <w:color w:val="000000"/>
          <w:lang w:eastAsia="pl-PL"/>
        </w:rPr>
        <w:t>wymóg stosowania minimalnej ilości barier i powłok łatwo rozdzielanych i</w:t>
      </w:r>
      <w:r w:rsidR="001D401E">
        <w:rPr>
          <w:rFonts w:ascii="Arial" w:eastAsia="Times New Roman" w:hAnsi="Arial" w:cs="Arial"/>
          <w:color w:val="000000"/>
          <w:lang w:eastAsia="pl-PL"/>
        </w:rPr>
        <w:t> </w:t>
      </w:r>
      <w:r>
        <w:rPr>
          <w:rFonts w:ascii="Arial" w:eastAsia="Times New Roman" w:hAnsi="Arial" w:cs="Arial"/>
          <w:color w:val="000000"/>
          <w:lang w:eastAsia="pl-PL"/>
        </w:rPr>
        <w:t xml:space="preserve"> nadających się do recyklingu,</w:t>
      </w:r>
    </w:p>
    <w:p w:rsidR="004A05C7" w:rsidRDefault="004A05C7" w:rsidP="004A05C7">
      <w:pPr>
        <w:pStyle w:val="Akapitzlist"/>
        <w:numPr>
          <w:ilvl w:val="0"/>
          <w:numId w:val="3"/>
        </w:numPr>
        <w:shd w:val="clear" w:color="auto" w:fill="FFFFFF"/>
        <w:spacing w:after="0" w:line="276" w:lineRule="auto"/>
        <w:ind w:left="1418" w:hanging="425"/>
        <w:jc w:val="both"/>
        <w:rPr>
          <w:rFonts w:ascii="Arial" w:eastAsia="Times New Roman" w:hAnsi="Arial" w:cs="Arial"/>
          <w:color w:val="000000"/>
          <w:lang w:eastAsia="pl-PL"/>
        </w:rPr>
      </w:pPr>
      <w:r>
        <w:rPr>
          <w:rFonts w:ascii="Arial" w:eastAsia="Times New Roman" w:hAnsi="Arial" w:cs="Arial"/>
          <w:color w:val="000000"/>
          <w:lang w:eastAsia="pl-PL"/>
        </w:rPr>
        <w:t>zakaz stosowania barier i powłok zanieczyszczonych substancjami toksycznymi lub trudno biodegradowalnymi</w:t>
      </w:r>
      <w:r w:rsidR="002A7DC7">
        <w:rPr>
          <w:rFonts w:ascii="Arial" w:eastAsia="Times New Roman" w:hAnsi="Arial" w:cs="Arial"/>
          <w:color w:val="000000"/>
          <w:lang w:eastAsia="pl-PL"/>
        </w:rPr>
        <w:t>.</w:t>
      </w:r>
    </w:p>
    <w:p w:rsidR="004A05C7" w:rsidRDefault="004A05C7" w:rsidP="004A05C7">
      <w:pPr>
        <w:pStyle w:val="Akapitzlist"/>
        <w:shd w:val="clear" w:color="auto" w:fill="FFFFFF"/>
        <w:spacing w:after="0" w:line="276" w:lineRule="auto"/>
        <w:ind w:left="1418"/>
        <w:jc w:val="both"/>
        <w:rPr>
          <w:rFonts w:ascii="Arial" w:eastAsia="Times New Roman" w:hAnsi="Arial" w:cs="Arial"/>
          <w:color w:val="000000"/>
          <w:lang w:eastAsia="pl-PL"/>
        </w:rPr>
      </w:pPr>
    </w:p>
    <w:p w:rsidR="00851489" w:rsidRDefault="00851489" w:rsidP="00851489">
      <w:pPr>
        <w:pStyle w:val="Akapitzlist"/>
        <w:numPr>
          <w:ilvl w:val="0"/>
          <w:numId w:val="2"/>
        </w:numPr>
        <w:shd w:val="clear" w:color="auto" w:fill="FFFFFF"/>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Farby/druk</w:t>
      </w:r>
      <w:r w:rsidR="004A05C7">
        <w:rPr>
          <w:rFonts w:ascii="Arial" w:eastAsia="Times New Roman" w:hAnsi="Arial" w:cs="Arial"/>
          <w:color w:val="000000"/>
          <w:lang w:eastAsia="pl-PL"/>
        </w:rPr>
        <w:t>:</w:t>
      </w:r>
    </w:p>
    <w:p w:rsidR="004A05C7" w:rsidRDefault="009348AC" w:rsidP="004A05C7">
      <w:pPr>
        <w:pStyle w:val="Akapitzlist"/>
        <w:numPr>
          <w:ilvl w:val="0"/>
          <w:numId w:val="4"/>
        </w:numPr>
        <w:shd w:val="clear" w:color="auto" w:fill="FFFFFF"/>
        <w:spacing w:after="0" w:line="276" w:lineRule="auto"/>
        <w:ind w:left="1418" w:hanging="425"/>
        <w:jc w:val="both"/>
        <w:rPr>
          <w:rFonts w:ascii="Arial" w:eastAsia="Times New Roman" w:hAnsi="Arial" w:cs="Arial"/>
          <w:color w:val="000000"/>
          <w:lang w:eastAsia="pl-PL"/>
        </w:rPr>
      </w:pPr>
      <w:r>
        <w:rPr>
          <w:rFonts w:ascii="Arial" w:eastAsia="Times New Roman" w:hAnsi="Arial" w:cs="Arial"/>
          <w:color w:val="000000"/>
          <w:lang w:eastAsia="pl-PL"/>
        </w:rPr>
        <w:t>w</w:t>
      </w:r>
      <w:r w:rsidR="00CE6BCC">
        <w:rPr>
          <w:rFonts w:ascii="Arial" w:eastAsia="Times New Roman" w:hAnsi="Arial" w:cs="Arial"/>
          <w:color w:val="000000"/>
          <w:lang w:eastAsia="pl-PL"/>
        </w:rPr>
        <w:t>ymóg stosowania farb i druk</w:t>
      </w:r>
      <w:r>
        <w:rPr>
          <w:rFonts w:ascii="Arial" w:eastAsia="Times New Roman" w:hAnsi="Arial" w:cs="Arial"/>
          <w:color w:val="000000"/>
          <w:lang w:eastAsia="pl-PL"/>
        </w:rPr>
        <w:t>u z materiałów łatwo rozdzielanych i nadających się do recyklingu,</w:t>
      </w:r>
    </w:p>
    <w:p w:rsidR="009348AC" w:rsidRDefault="009348AC" w:rsidP="004A05C7">
      <w:pPr>
        <w:pStyle w:val="Akapitzlist"/>
        <w:numPr>
          <w:ilvl w:val="0"/>
          <w:numId w:val="4"/>
        </w:numPr>
        <w:shd w:val="clear" w:color="auto" w:fill="FFFFFF"/>
        <w:spacing w:after="0" w:line="276" w:lineRule="auto"/>
        <w:ind w:left="1418" w:hanging="425"/>
        <w:jc w:val="both"/>
        <w:rPr>
          <w:rFonts w:ascii="Arial" w:eastAsia="Times New Roman" w:hAnsi="Arial" w:cs="Arial"/>
          <w:color w:val="000000"/>
          <w:lang w:eastAsia="pl-PL"/>
        </w:rPr>
      </w:pPr>
      <w:r>
        <w:rPr>
          <w:rFonts w:ascii="Arial" w:eastAsia="Times New Roman" w:hAnsi="Arial" w:cs="Arial"/>
          <w:color w:val="000000"/>
          <w:lang w:eastAsia="pl-PL"/>
        </w:rPr>
        <w:t>zakaz stosowania farb i druku zawierających substancje toksyczne lub trudno biodegradowalne</w:t>
      </w:r>
      <w:r w:rsidR="002A7DC7">
        <w:rPr>
          <w:rFonts w:ascii="Arial" w:eastAsia="Times New Roman" w:hAnsi="Arial" w:cs="Arial"/>
          <w:color w:val="000000"/>
          <w:lang w:eastAsia="pl-PL"/>
        </w:rPr>
        <w:t>.</w:t>
      </w:r>
    </w:p>
    <w:p w:rsidR="009348AC" w:rsidRDefault="009348AC" w:rsidP="009348AC">
      <w:pPr>
        <w:pStyle w:val="Akapitzlist"/>
        <w:shd w:val="clear" w:color="auto" w:fill="FFFFFF"/>
        <w:spacing w:after="0" w:line="276" w:lineRule="auto"/>
        <w:ind w:left="1418"/>
        <w:jc w:val="both"/>
        <w:rPr>
          <w:rFonts w:ascii="Arial" w:eastAsia="Times New Roman" w:hAnsi="Arial" w:cs="Arial"/>
          <w:color w:val="000000"/>
          <w:lang w:eastAsia="pl-PL"/>
        </w:rPr>
      </w:pPr>
    </w:p>
    <w:p w:rsidR="004A5301" w:rsidRDefault="00851489" w:rsidP="004A05C7">
      <w:pPr>
        <w:pStyle w:val="Akapitzlist"/>
        <w:numPr>
          <w:ilvl w:val="0"/>
          <w:numId w:val="2"/>
        </w:numPr>
        <w:shd w:val="clear" w:color="auto" w:fill="FFFFFF"/>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Kolor</w:t>
      </w:r>
      <w:r w:rsidR="004A05C7">
        <w:rPr>
          <w:rFonts w:ascii="Arial" w:eastAsia="Times New Roman" w:hAnsi="Arial" w:cs="Arial"/>
          <w:color w:val="000000"/>
          <w:lang w:eastAsia="pl-PL"/>
        </w:rPr>
        <w:t>:</w:t>
      </w:r>
    </w:p>
    <w:p w:rsidR="00602DDF" w:rsidRDefault="00602DDF" w:rsidP="00602DDF">
      <w:pPr>
        <w:pStyle w:val="Akapitzlist"/>
        <w:numPr>
          <w:ilvl w:val="0"/>
          <w:numId w:val="4"/>
        </w:numPr>
        <w:shd w:val="clear" w:color="auto" w:fill="FFFFFF"/>
        <w:spacing w:after="0" w:line="276" w:lineRule="auto"/>
        <w:ind w:left="1418" w:hanging="425"/>
        <w:jc w:val="both"/>
        <w:rPr>
          <w:rFonts w:ascii="Arial" w:eastAsia="Times New Roman" w:hAnsi="Arial" w:cs="Arial"/>
          <w:color w:val="000000"/>
          <w:lang w:eastAsia="pl-PL"/>
        </w:rPr>
      </w:pPr>
      <w:r>
        <w:rPr>
          <w:rFonts w:ascii="Arial" w:eastAsia="Times New Roman" w:hAnsi="Arial" w:cs="Arial"/>
          <w:color w:val="000000"/>
          <w:lang w:eastAsia="pl-PL"/>
        </w:rPr>
        <w:t>stosowanie kolorów, które nie utrudniają procesu sortowania (np. opakowań jaskrawych/neonowych),</w:t>
      </w:r>
    </w:p>
    <w:p w:rsidR="00602DDF" w:rsidRDefault="00602DDF" w:rsidP="00602DDF">
      <w:pPr>
        <w:pStyle w:val="Akapitzlist"/>
        <w:numPr>
          <w:ilvl w:val="0"/>
          <w:numId w:val="4"/>
        </w:numPr>
        <w:shd w:val="clear" w:color="auto" w:fill="FFFFFF"/>
        <w:spacing w:after="0" w:line="276" w:lineRule="auto"/>
        <w:ind w:left="1418" w:hanging="425"/>
        <w:jc w:val="both"/>
        <w:rPr>
          <w:rFonts w:ascii="Arial" w:eastAsia="Times New Roman" w:hAnsi="Arial" w:cs="Arial"/>
          <w:color w:val="000000"/>
          <w:lang w:eastAsia="pl-PL"/>
        </w:rPr>
      </w:pPr>
      <w:r>
        <w:rPr>
          <w:rFonts w:ascii="Arial" w:eastAsia="Times New Roman" w:hAnsi="Arial" w:cs="Arial"/>
          <w:color w:val="000000"/>
          <w:lang w:eastAsia="pl-PL"/>
        </w:rPr>
        <w:t>stosowanie barwników, które nie zawierają substancji toksycznych lub trudno biodegradowalnych (barwniki te mogą zanieczyszczać proces recyklingu lub</w:t>
      </w:r>
      <w:r w:rsidR="001D401E">
        <w:rPr>
          <w:rFonts w:ascii="Arial" w:eastAsia="Times New Roman" w:hAnsi="Arial" w:cs="Arial"/>
          <w:color w:val="000000"/>
          <w:lang w:eastAsia="pl-PL"/>
        </w:rPr>
        <w:t> </w:t>
      </w:r>
      <w:r>
        <w:rPr>
          <w:rFonts w:ascii="Arial" w:eastAsia="Times New Roman" w:hAnsi="Arial" w:cs="Arial"/>
          <w:color w:val="000000"/>
          <w:lang w:eastAsia="pl-PL"/>
        </w:rPr>
        <w:t>wpływać na jakość surowców wtórnych),</w:t>
      </w:r>
    </w:p>
    <w:p w:rsidR="00602DDF" w:rsidRPr="004A05C7" w:rsidRDefault="00602DDF" w:rsidP="00602DDF">
      <w:pPr>
        <w:pStyle w:val="Akapitzlist"/>
        <w:numPr>
          <w:ilvl w:val="0"/>
          <w:numId w:val="4"/>
        </w:numPr>
        <w:shd w:val="clear" w:color="auto" w:fill="FFFFFF"/>
        <w:spacing w:after="0" w:line="276" w:lineRule="auto"/>
        <w:ind w:left="1418" w:hanging="425"/>
        <w:jc w:val="both"/>
        <w:rPr>
          <w:rFonts w:ascii="Arial" w:eastAsia="Times New Roman" w:hAnsi="Arial" w:cs="Arial"/>
          <w:color w:val="000000"/>
          <w:lang w:eastAsia="pl-PL"/>
        </w:rPr>
      </w:pPr>
      <w:r>
        <w:rPr>
          <w:rFonts w:ascii="Arial" w:eastAsia="Times New Roman" w:hAnsi="Arial" w:cs="Arial"/>
          <w:color w:val="000000"/>
          <w:lang w:eastAsia="pl-PL"/>
        </w:rPr>
        <w:t>zachowanie zgodności z wytycznymi dotyczącymi kolorów w danej branży lub</w:t>
      </w:r>
      <w:r w:rsidR="001D401E">
        <w:rPr>
          <w:rFonts w:ascii="Arial" w:eastAsia="Times New Roman" w:hAnsi="Arial" w:cs="Arial"/>
          <w:color w:val="000000"/>
          <w:lang w:eastAsia="pl-PL"/>
        </w:rPr>
        <w:t> </w:t>
      </w:r>
      <w:r>
        <w:rPr>
          <w:rFonts w:ascii="Arial" w:eastAsia="Times New Roman" w:hAnsi="Arial" w:cs="Arial"/>
          <w:color w:val="000000"/>
          <w:lang w:eastAsia="pl-PL"/>
        </w:rPr>
        <w:t>sektorze przemysłu, aby ułatwić proces sortowania i recyklingu.</w:t>
      </w:r>
    </w:p>
    <w:p w:rsidR="00851489" w:rsidRDefault="00851489" w:rsidP="00851489">
      <w:pPr>
        <w:shd w:val="clear" w:color="auto" w:fill="FFFFFF"/>
        <w:spacing w:after="0" w:line="276" w:lineRule="auto"/>
        <w:ind w:left="567"/>
        <w:jc w:val="both"/>
        <w:rPr>
          <w:rFonts w:ascii="Arial" w:eastAsia="Times New Roman" w:hAnsi="Arial" w:cs="Arial"/>
          <w:color w:val="000000"/>
          <w:lang w:eastAsia="pl-PL"/>
        </w:rPr>
      </w:pPr>
    </w:p>
    <w:p w:rsidR="00851489" w:rsidRDefault="00851489" w:rsidP="00851489">
      <w:pPr>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Ponadto w ocenie parametrów, w uzupełnieniu i modyfikacji przedstawionej propozycji, należy uwzględnić</w:t>
      </w:r>
      <w:r w:rsidR="003F0D78">
        <w:rPr>
          <w:rFonts w:ascii="Arial" w:eastAsia="Times New Roman" w:hAnsi="Arial" w:cs="Arial"/>
          <w:color w:val="000000"/>
          <w:lang w:eastAsia="pl-PL"/>
        </w:rPr>
        <w:t xml:space="preserve"> (</w:t>
      </w:r>
      <w:r w:rsidR="003F0D78" w:rsidRPr="003F0D78">
        <w:rPr>
          <w:rFonts w:ascii="Arial" w:eastAsia="Times New Roman" w:hAnsi="Arial" w:cs="Arial"/>
          <w:i/>
          <w:iCs/>
          <w:color w:val="000000"/>
          <w:lang w:eastAsia="pl-PL"/>
        </w:rPr>
        <w:t>uwaga: zmiany zaznaczono kolorem czerwonym, propozycje usunięcia przekreślono</w:t>
      </w:r>
      <w:r w:rsidR="003F0D78">
        <w:rPr>
          <w:rFonts w:ascii="Arial" w:eastAsia="Times New Roman" w:hAnsi="Arial" w:cs="Arial"/>
          <w:color w:val="000000"/>
          <w:lang w:eastAsia="pl-PL"/>
        </w:rPr>
        <w:t>)</w:t>
      </w:r>
      <w:r>
        <w:rPr>
          <w:rFonts w:ascii="Arial" w:eastAsia="Times New Roman" w:hAnsi="Arial" w:cs="Arial"/>
          <w:color w:val="000000"/>
          <w:lang w:eastAsia="pl-PL"/>
        </w:rPr>
        <w:t>:</w:t>
      </w:r>
    </w:p>
    <w:p w:rsidR="00851489" w:rsidRDefault="00851489" w:rsidP="00851489">
      <w:pPr>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możliwość oddzielenia każdego składnika opakowania</w:t>
      </w:r>
      <w:r w:rsidRPr="003F0D78">
        <w:rPr>
          <w:rFonts w:ascii="Arial" w:eastAsia="Times New Roman" w:hAnsi="Arial" w:cs="Arial"/>
          <w:strike/>
          <w:color w:val="000000"/>
          <w:lang w:eastAsia="pl-PL"/>
        </w:rPr>
        <w:t xml:space="preserve">, zarówno ręcznie przez konsumentów, jak i </w:t>
      </w:r>
      <w:r>
        <w:rPr>
          <w:rFonts w:ascii="Arial" w:eastAsia="Times New Roman" w:hAnsi="Arial" w:cs="Arial"/>
          <w:color w:val="000000"/>
          <w:lang w:eastAsia="pl-PL"/>
        </w:rPr>
        <w:t>w zakładach przetwórczych,</w:t>
      </w:r>
    </w:p>
    <w:p w:rsidR="003F0D78" w:rsidRPr="003F0D78" w:rsidRDefault="00851489" w:rsidP="003F0D78">
      <w:pPr>
        <w:shd w:val="clear" w:color="auto" w:fill="FFFFFF"/>
        <w:spacing w:after="0" w:line="276" w:lineRule="auto"/>
        <w:ind w:left="567"/>
        <w:jc w:val="both"/>
        <w:rPr>
          <w:rFonts w:ascii="Arial" w:eastAsia="Times New Roman" w:hAnsi="Arial" w:cs="Arial"/>
          <w:color w:val="FF0000"/>
          <w:lang w:eastAsia="pl-PL"/>
        </w:rPr>
      </w:pPr>
      <w:r w:rsidRPr="003F0D78">
        <w:rPr>
          <w:rFonts w:ascii="Arial" w:eastAsia="Times New Roman" w:hAnsi="Arial" w:cs="Arial"/>
          <w:color w:val="FF0000"/>
          <w:lang w:eastAsia="pl-PL"/>
        </w:rPr>
        <w:t xml:space="preserve">- konsument powinien przede wszystkim prawidłowo sortować odpady. </w:t>
      </w:r>
      <w:r w:rsidR="003F0D78" w:rsidRPr="003F0D78">
        <w:rPr>
          <w:rFonts w:ascii="Arial" w:eastAsia="Times New Roman" w:hAnsi="Arial" w:cs="Arial"/>
          <w:color w:val="FF0000"/>
          <w:lang w:eastAsia="pl-PL"/>
        </w:rPr>
        <w:t>Ich rozdzielenie na poszczególne grupy surowców powinno odbywać się w profesjonalnych zakładach,</w:t>
      </w:r>
    </w:p>
    <w:p w:rsidR="003F0D78" w:rsidRDefault="003F0D78" w:rsidP="003F0D78">
      <w:pPr>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xml:space="preserve">- wydajność procesów sortowania i recyklingu, np. wydajność, </w:t>
      </w:r>
      <w:r w:rsidRPr="003F0D78">
        <w:rPr>
          <w:rFonts w:ascii="Arial" w:eastAsia="Times New Roman" w:hAnsi="Arial" w:cs="Arial"/>
          <w:strike/>
          <w:color w:val="000000"/>
          <w:lang w:eastAsia="pl-PL"/>
        </w:rPr>
        <w:t>oraz</w:t>
      </w:r>
    </w:p>
    <w:p w:rsidR="003F0D78" w:rsidRDefault="003F0D78" w:rsidP="003F0D78">
      <w:pPr>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zachowanie funkcjonalności surowców wtórnych umożliwiające zastąpienie surowców pierwotnych,</w:t>
      </w:r>
    </w:p>
    <w:p w:rsidR="003F0D78" w:rsidRDefault="003F0D78" w:rsidP="003F0D78">
      <w:pPr>
        <w:shd w:val="clear" w:color="auto" w:fill="FFFFFF"/>
        <w:spacing w:after="0" w:line="276" w:lineRule="auto"/>
        <w:ind w:left="567"/>
        <w:jc w:val="both"/>
        <w:rPr>
          <w:rFonts w:ascii="Arial" w:eastAsia="Times New Roman" w:hAnsi="Arial" w:cs="Arial"/>
          <w:color w:val="FF0000"/>
          <w:lang w:eastAsia="pl-PL"/>
        </w:rPr>
      </w:pPr>
      <w:r w:rsidRPr="003F0D78">
        <w:rPr>
          <w:rFonts w:ascii="Arial" w:eastAsia="Times New Roman" w:hAnsi="Arial" w:cs="Arial"/>
          <w:color w:val="FF0000"/>
          <w:lang w:eastAsia="pl-PL"/>
        </w:rPr>
        <w:t xml:space="preserve">- moce recyklingowe dla danego rodzaju opakowania w odniesieniu do rynku UE. </w:t>
      </w:r>
    </w:p>
    <w:p w:rsidR="003F0D78" w:rsidRDefault="003F0D78" w:rsidP="003F0D78">
      <w:pPr>
        <w:shd w:val="clear" w:color="auto" w:fill="FFFFFF"/>
        <w:spacing w:after="0" w:line="276" w:lineRule="auto"/>
        <w:ind w:left="567"/>
        <w:jc w:val="both"/>
        <w:rPr>
          <w:rFonts w:ascii="Arial" w:eastAsia="Times New Roman" w:hAnsi="Arial" w:cs="Arial"/>
          <w:color w:val="FF0000"/>
          <w:lang w:eastAsia="pl-PL"/>
        </w:rPr>
      </w:pPr>
    </w:p>
    <w:p w:rsidR="003F0D78" w:rsidRDefault="003F0D78" w:rsidP="003F0D78">
      <w:pPr>
        <w:shd w:val="clear" w:color="auto" w:fill="FFFFFF"/>
        <w:spacing w:after="0" w:line="276" w:lineRule="auto"/>
        <w:ind w:left="567"/>
        <w:jc w:val="both"/>
        <w:rPr>
          <w:rFonts w:ascii="Arial" w:eastAsia="Times New Roman" w:hAnsi="Arial" w:cs="Arial"/>
          <w:lang w:eastAsia="pl-PL"/>
        </w:rPr>
      </w:pPr>
      <w:r>
        <w:rPr>
          <w:rFonts w:ascii="Arial" w:eastAsia="Times New Roman" w:hAnsi="Arial" w:cs="Arial"/>
          <w:lang w:eastAsia="pl-PL"/>
        </w:rPr>
        <w:t>Segregacja odpadów przez konsumentów stała się faktem, pomimo czego w dalszym ciągu wielu z nich ma problem z dokonywaniem właściwej segregacji odpadów. Należy</w:t>
      </w:r>
      <w:r w:rsidR="001D401E">
        <w:rPr>
          <w:rFonts w:ascii="Arial" w:eastAsia="Times New Roman" w:hAnsi="Arial" w:cs="Arial"/>
          <w:lang w:eastAsia="pl-PL"/>
        </w:rPr>
        <w:t> </w:t>
      </w:r>
      <w:r>
        <w:rPr>
          <w:rFonts w:ascii="Arial" w:eastAsia="Times New Roman" w:hAnsi="Arial" w:cs="Arial"/>
          <w:lang w:eastAsia="pl-PL"/>
        </w:rPr>
        <w:t>skupić się na szerzeniu świadomości i dążeniu do dokonywania właściwego sortowania odpadów przez konsumentów, co z kolei ułatwi proces ich przetwarzania w</w:t>
      </w:r>
      <w:r w:rsidR="001D401E">
        <w:rPr>
          <w:rFonts w:ascii="Arial" w:eastAsia="Times New Roman" w:hAnsi="Arial" w:cs="Arial"/>
          <w:lang w:eastAsia="pl-PL"/>
        </w:rPr>
        <w:t> </w:t>
      </w:r>
      <w:r>
        <w:rPr>
          <w:rFonts w:ascii="Arial" w:eastAsia="Times New Roman" w:hAnsi="Arial" w:cs="Arial"/>
          <w:lang w:eastAsia="pl-PL"/>
        </w:rPr>
        <w:t>zakładach przetwórczych. Stawianie wymogu oddzielania przez konsumenta każdego składnika opakowania wydaje się być nieuzasadnione. Rozdzielenie opakowania na</w:t>
      </w:r>
      <w:r w:rsidR="001D401E">
        <w:rPr>
          <w:rFonts w:ascii="Arial" w:eastAsia="Times New Roman" w:hAnsi="Arial" w:cs="Arial"/>
          <w:lang w:eastAsia="pl-PL"/>
        </w:rPr>
        <w:t> </w:t>
      </w:r>
      <w:r>
        <w:rPr>
          <w:rFonts w:ascii="Arial" w:eastAsia="Times New Roman" w:hAnsi="Arial" w:cs="Arial"/>
          <w:lang w:eastAsia="pl-PL"/>
        </w:rPr>
        <w:t xml:space="preserve">poszczególne grupy surowców powinno odbywać się w profesjonalnych zakładach. Istnieje ryzyko, że konsumenci, podobnie jak w przypadku segregacji, będą popełniać błędy, co spowoduje wydłużenie całego procesu i w istocie multiplikować będzie te same czynności. </w:t>
      </w:r>
    </w:p>
    <w:p w:rsidR="001C4158" w:rsidRDefault="001C4158" w:rsidP="003F0D78">
      <w:pPr>
        <w:shd w:val="clear" w:color="auto" w:fill="FFFFFF"/>
        <w:spacing w:after="0" w:line="276" w:lineRule="auto"/>
        <w:ind w:left="567"/>
        <w:jc w:val="both"/>
        <w:rPr>
          <w:rFonts w:ascii="Arial" w:eastAsia="Times New Roman" w:hAnsi="Arial" w:cs="Arial"/>
          <w:lang w:eastAsia="pl-PL"/>
        </w:rPr>
      </w:pPr>
    </w:p>
    <w:p w:rsidR="001C4158" w:rsidRDefault="001C4158" w:rsidP="003F0D78">
      <w:pPr>
        <w:shd w:val="clear" w:color="auto" w:fill="FFFFFF"/>
        <w:spacing w:after="0" w:line="276" w:lineRule="auto"/>
        <w:ind w:left="567"/>
        <w:jc w:val="both"/>
        <w:rPr>
          <w:rFonts w:ascii="Arial" w:eastAsia="Times New Roman" w:hAnsi="Arial" w:cs="Arial"/>
          <w:lang w:eastAsia="pl-PL"/>
        </w:rPr>
      </w:pPr>
      <w:r>
        <w:rPr>
          <w:rFonts w:ascii="Arial" w:eastAsia="Times New Roman" w:hAnsi="Arial" w:cs="Arial"/>
          <w:lang w:eastAsia="pl-PL"/>
        </w:rPr>
        <w:lastRenderedPageBreak/>
        <w:t>W odniesieniu do możliwości oddzielenia każdego składnika opakowania</w:t>
      </w:r>
      <w:r w:rsidR="004A5301">
        <w:rPr>
          <w:rFonts w:ascii="Arial" w:eastAsia="Times New Roman" w:hAnsi="Arial" w:cs="Arial"/>
          <w:lang w:eastAsia="pl-PL"/>
        </w:rPr>
        <w:t xml:space="preserve"> należy stosować odpowiedni system</w:t>
      </w:r>
      <w:r w:rsidR="004A05C7">
        <w:rPr>
          <w:rFonts w:ascii="Arial" w:eastAsia="Times New Roman" w:hAnsi="Arial" w:cs="Arial"/>
          <w:lang w:eastAsia="pl-PL"/>
        </w:rPr>
        <w:t xml:space="preserve"> ułatwiający demontaż, tj.</w:t>
      </w:r>
    </w:p>
    <w:p w:rsidR="004A05C7" w:rsidRDefault="004A05C7" w:rsidP="004A05C7">
      <w:pPr>
        <w:pStyle w:val="Akapitzlist"/>
        <w:numPr>
          <w:ilvl w:val="0"/>
          <w:numId w:val="4"/>
        </w:numPr>
        <w:shd w:val="clear" w:color="auto" w:fill="FFFFFF"/>
        <w:spacing w:after="0" w:line="276" w:lineRule="auto"/>
        <w:ind w:left="1418" w:hanging="425"/>
        <w:jc w:val="both"/>
        <w:rPr>
          <w:rFonts w:ascii="Arial" w:eastAsia="Times New Roman" w:hAnsi="Arial" w:cs="Arial"/>
          <w:lang w:eastAsia="pl-PL"/>
        </w:rPr>
      </w:pPr>
      <w:r>
        <w:rPr>
          <w:rFonts w:ascii="Arial" w:eastAsia="Times New Roman" w:hAnsi="Arial" w:cs="Arial"/>
          <w:lang w:eastAsia="pl-PL"/>
        </w:rPr>
        <w:t>wymóg projektowania opakowań w taki sposób, aby poszczególne składniki łatwo można było oddzielić przed recyklingiem,</w:t>
      </w:r>
    </w:p>
    <w:p w:rsidR="00C4454F" w:rsidRDefault="00C4454F" w:rsidP="004A05C7">
      <w:pPr>
        <w:pStyle w:val="Akapitzlist"/>
        <w:numPr>
          <w:ilvl w:val="0"/>
          <w:numId w:val="4"/>
        </w:numPr>
        <w:shd w:val="clear" w:color="auto" w:fill="FFFFFF"/>
        <w:spacing w:after="0" w:line="276" w:lineRule="auto"/>
        <w:ind w:left="1418" w:hanging="425"/>
        <w:jc w:val="both"/>
        <w:rPr>
          <w:rFonts w:ascii="Arial" w:eastAsia="Times New Roman" w:hAnsi="Arial" w:cs="Arial"/>
          <w:lang w:eastAsia="pl-PL"/>
        </w:rPr>
      </w:pPr>
      <w:r>
        <w:rPr>
          <w:rFonts w:ascii="Arial" w:eastAsia="Times New Roman" w:hAnsi="Arial" w:cs="Arial"/>
          <w:lang w:eastAsia="pl-PL"/>
        </w:rPr>
        <w:t>wymóg stosowania systemów zamykania, które umożliwiają łatwe oddzielanie różnych składników opakowania przed recyklingiem, takich jak korki, nakrętki, kapsle itp.,</w:t>
      </w:r>
    </w:p>
    <w:p w:rsidR="00C4454F" w:rsidRDefault="00C4454F" w:rsidP="004A05C7">
      <w:pPr>
        <w:pStyle w:val="Akapitzlist"/>
        <w:numPr>
          <w:ilvl w:val="0"/>
          <w:numId w:val="4"/>
        </w:numPr>
        <w:shd w:val="clear" w:color="auto" w:fill="FFFFFF"/>
        <w:spacing w:after="0" w:line="276" w:lineRule="auto"/>
        <w:ind w:left="1418" w:hanging="425"/>
        <w:jc w:val="both"/>
        <w:rPr>
          <w:rFonts w:ascii="Arial" w:eastAsia="Times New Roman" w:hAnsi="Arial" w:cs="Arial"/>
          <w:lang w:eastAsia="pl-PL"/>
        </w:rPr>
      </w:pPr>
      <w:r>
        <w:rPr>
          <w:rFonts w:ascii="Arial" w:eastAsia="Times New Roman" w:hAnsi="Arial" w:cs="Arial"/>
          <w:lang w:eastAsia="pl-PL"/>
        </w:rPr>
        <w:t>wymóg stosowania materiałów łatwo rozdzielanych i nadających się do</w:t>
      </w:r>
      <w:r w:rsidR="001D401E">
        <w:rPr>
          <w:rFonts w:ascii="Arial" w:eastAsia="Times New Roman" w:hAnsi="Arial" w:cs="Arial"/>
          <w:lang w:eastAsia="pl-PL"/>
        </w:rPr>
        <w:t> </w:t>
      </w:r>
      <w:r>
        <w:rPr>
          <w:rFonts w:ascii="Arial" w:eastAsia="Times New Roman" w:hAnsi="Arial" w:cs="Arial"/>
          <w:lang w:eastAsia="pl-PL"/>
        </w:rPr>
        <w:t>recyklingu, takich jak PET, HDPE, PP itp.</w:t>
      </w:r>
    </w:p>
    <w:p w:rsidR="004A05C7" w:rsidRDefault="00C4454F" w:rsidP="004A05C7">
      <w:pPr>
        <w:pStyle w:val="Akapitzlist"/>
        <w:numPr>
          <w:ilvl w:val="0"/>
          <w:numId w:val="4"/>
        </w:numPr>
        <w:shd w:val="clear" w:color="auto" w:fill="FFFFFF"/>
        <w:spacing w:after="0" w:line="276" w:lineRule="auto"/>
        <w:ind w:left="1418" w:hanging="425"/>
        <w:jc w:val="both"/>
        <w:rPr>
          <w:rFonts w:ascii="Arial" w:eastAsia="Times New Roman" w:hAnsi="Arial" w:cs="Arial"/>
          <w:lang w:eastAsia="pl-PL"/>
        </w:rPr>
      </w:pPr>
      <w:r>
        <w:rPr>
          <w:rFonts w:ascii="Arial" w:eastAsia="Times New Roman" w:hAnsi="Arial" w:cs="Arial"/>
          <w:lang w:eastAsia="pl-PL"/>
        </w:rPr>
        <w:t>dopuszczalne ilości dodatków, takich jak barwniki, wypełniacze i środki chemiczne, które nie wpłyną negatywnie na proces recyklingu i jakość surowców wtórnych</w:t>
      </w:r>
      <w:r w:rsidR="002A7DC7">
        <w:rPr>
          <w:rFonts w:ascii="Arial" w:eastAsia="Times New Roman" w:hAnsi="Arial" w:cs="Arial"/>
          <w:lang w:eastAsia="pl-PL"/>
        </w:rPr>
        <w:t>.</w:t>
      </w:r>
    </w:p>
    <w:p w:rsidR="003443C5" w:rsidRPr="0083301E" w:rsidRDefault="003443C5" w:rsidP="0083301E">
      <w:pPr>
        <w:shd w:val="clear" w:color="auto" w:fill="FFFFFF"/>
        <w:spacing w:after="0" w:line="276" w:lineRule="auto"/>
        <w:jc w:val="both"/>
        <w:rPr>
          <w:rFonts w:ascii="Arial" w:eastAsia="Times New Roman" w:hAnsi="Arial" w:cs="Arial"/>
          <w:color w:val="000000"/>
          <w:lang w:eastAsia="pl-PL"/>
        </w:rPr>
      </w:pPr>
    </w:p>
    <w:p w:rsidR="00E27B78" w:rsidRPr="0083301E" w:rsidRDefault="003443C5" w:rsidP="0083301E">
      <w:pPr>
        <w:pStyle w:val="Akapitzlist"/>
        <w:numPr>
          <w:ilvl w:val="0"/>
          <w:numId w:val="1"/>
        </w:numPr>
        <w:shd w:val="clear" w:color="auto" w:fill="FFFFFF"/>
        <w:spacing w:after="0" w:line="276" w:lineRule="auto"/>
        <w:ind w:left="567" w:hanging="567"/>
        <w:jc w:val="both"/>
        <w:rPr>
          <w:rFonts w:ascii="Arial" w:eastAsia="Times New Roman" w:hAnsi="Arial" w:cs="Arial"/>
          <w:color w:val="000000"/>
          <w:lang w:eastAsia="pl-PL"/>
        </w:rPr>
      </w:pPr>
      <w:r w:rsidRPr="0083301E">
        <w:rPr>
          <w:rFonts w:ascii="Arial" w:eastAsia="Times New Roman" w:hAnsi="Arial" w:cs="Arial"/>
          <w:b/>
          <w:bCs/>
          <w:color w:val="000000"/>
          <w:lang w:eastAsia="pl-PL"/>
        </w:rPr>
        <w:t>Czy</w:t>
      </w:r>
      <w:r w:rsidR="0086535B">
        <w:rPr>
          <w:rFonts w:ascii="Arial" w:eastAsia="Times New Roman" w:hAnsi="Arial" w:cs="Arial"/>
          <w:b/>
          <w:bCs/>
          <w:color w:val="000000"/>
          <w:lang w:eastAsia="pl-PL"/>
        </w:rPr>
        <w:t xml:space="preserve"> </w:t>
      </w:r>
      <w:r w:rsidRPr="0083301E">
        <w:rPr>
          <w:rFonts w:ascii="Arial" w:eastAsia="Times New Roman" w:hAnsi="Arial" w:cs="Arial"/>
          <w:b/>
          <w:bCs/>
          <w:color w:val="000000"/>
          <w:lang w:eastAsia="pl-PL"/>
        </w:rPr>
        <w:t>zasadnym jest zastąpienie użytego w art. 6 sformułowania  "</w:t>
      </w:r>
      <w:r w:rsidRPr="0083301E">
        <w:rPr>
          <w:rFonts w:ascii="Arial" w:eastAsia="Times New Roman" w:hAnsi="Arial" w:cs="Arial"/>
          <w:b/>
          <w:bCs/>
          <w:i/>
          <w:iCs/>
          <w:color w:val="000000"/>
          <w:lang w:eastAsia="pl-PL"/>
        </w:rPr>
        <w:t>najnowocześniejsze procesy</w:t>
      </w:r>
      <w:r w:rsidRPr="0083301E">
        <w:rPr>
          <w:rFonts w:ascii="Arial" w:eastAsia="Times New Roman" w:hAnsi="Arial" w:cs="Arial"/>
          <w:b/>
          <w:bCs/>
          <w:color w:val="000000"/>
          <w:lang w:eastAsia="pl-PL"/>
        </w:rPr>
        <w:t>" (the state of the art) sformułowaniem "</w:t>
      </w:r>
      <w:r w:rsidRPr="0083301E">
        <w:rPr>
          <w:rFonts w:ascii="Arial" w:eastAsia="Times New Roman" w:hAnsi="Arial" w:cs="Arial"/>
          <w:b/>
          <w:bCs/>
          <w:i/>
          <w:iCs/>
          <w:color w:val="000000"/>
          <w:lang w:eastAsia="pl-PL"/>
        </w:rPr>
        <w:t>w rzeczywistych systemach sprawdzonych w środowisku operacyjnym</w:t>
      </w:r>
      <w:r w:rsidRPr="0083301E">
        <w:rPr>
          <w:rFonts w:ascii="Arial" w:eastAsia="Times New Roman" w:hAnsi="Arial" w:cs="Arial"/>
          <w:b/>
          <w:bCs/>
          <w:color w:val="000000"/>
          <w:lang w:eastAsia="pl-PL"/>
        </w:rPr>
        <w:t>" (</w:t>
      </w:r>
      <w:r w:rsidRPr="0083301E">
        <w:rPr>
          <w:rFonts w:ascii="Arial" w:eastAsia="Times New Roman" w:hAnsi="Arial" w:cs="Arial"/>
          <w:b/>
          <w:bCs/>
          <w:color w:val="000000"/>
          <w:lang w:val="en-GB" w:eastAsia="pl-PL"/>
        </w:rPr>
        <w:t>established processes in actual systems proven in operational environment), co będzie odpowiadało </w:t>
      </w:r>
      <w:r w:rsidRPr="0083301E">
        <w:rPr>
          <w:rFonts w:ascii="Arial" w:eastAsia="Times New Roman" w:hAnsi="Arial" w:cs="Arial"/>
          <w:b/>
          <w:bCs/>
          <w:color w:val="000000"/>
          <w:lang w:eastAsia="pl-PL"/>
        </w:rPr>
        <w:t>TRL 9, który jest dobrze zdefiniowanym terminem i nie stwarza ryzyka pomyłek w odniesieniu do BAT i dyrektywy w</w:t>
      </w:r>
      <w:r w:rsidR="001D401E">
        <w:rPr>
          <w:rFonts w:ascii="Arial" w:eastAsia="Times New Roman" w:hAnsi="Arial" w:cs="Arial"/>
          <w:b/>
          <w:bCs/>
          <w:color w:val="000000"/>
          <w:lang w:eastAsia="pl-PL"/>
        </w:rPr>
        <w:t> </w:t>
      </w:r>
      <w:r w:rsidRPr="0083301E">
        <w:rPr>
          <w:rFonts w:ascii="Arial" w:eastAsia="Times New Roman" w:hAnsi="Arial" w:cs="Arial"/>
          <w:b/>
          <w:bCs/>
          <w:color w:val="000000"/>
          <w:lang w:eastAsia="pl-PL"/>
        </w:rPr>
        <w:t>sprawie emisji przemysłowych (IED)?</w:t>
      </w:r>
    </w:p>
    <w:p w:rsidR="00E27B78" w:rsidRPr="0083301E" w:rsidRDefault="00E27B78" w:rsidP="0083301E">
      <w:pPr>
        <w:pStyle w:val="Akapitzlist"/>
        <w:shd w:val="clear" w:color="auto" w:fill="FFFFFF"/>
        <w:spacing w:after="0" w:line="276" w:lineRule="auto"/>
        <w:ind w:left="567"/>
        <w:jc w:val="both"/>
        <w:rPr>
          <w:rFonts w:ascii="Arial" w:eastAsia="Times New Roman" w:hAnsi="Arial" w:cs="Arial"/>
          <w:b/>
          <w:bCs/>
          <w:color w:val="000000"/>
          <w:lang w:eastAsia="pl-PL"/>
        </w:rPr>
      </w:pPr>
    </w:p>
    <w:p w:rsidR="00E27B78" w:rsidRDefault="00E27B78" w:rsidP="0083301E">
      <w:pPr>
        <w:pStyle w:val="Akapitzlist"/>
        <w:shd w:val="clear" w:color="auto" w:fill="FFFFFF"/>
        <w:spacing w:after="0" w:line="276" w:lineRule="auto"/>
        <w:ind w:left="567"/>
        <w:jc w:val="both"/>
        <w:rPr>
          <w:rFonts w:ascii="Arial" w:eastAsia="Times New Roman" w:hAnsi="Arial" w:cs="Arial"/>
          <w:color w:val="000000"/>
          <w:u w:val="single"/>
          <w:lang w:eastAsia="pl-PL"/>
        </w:rPr>
      </w:pPr>
      <w:r w:rsidRPr="0083301E">
        <w:rPr>
          <w:rFonts w:ascii="Arial" w:eastAsia="Times New Roman" w:hAnsi="Arial" w:cs="Arial"/>
          <w:color w:val="000000"/>
          <w:u w:val="single"/>
          <w:lang w:eastAsia="pl-PL"/>
        </w:rPr>
        <w:t>ODPOWIEDŹ:</w:t>
      </w:r>
    </w:p>
    <w:p w:rsidR="0086535B" w:rsidRPr="0086535B" w:rsidRDefault="0086535B" w:rsidP="0083301E">
      <w:pPr>
        <w:pStyle w:val="Akapitzlist"/>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W ocenie Pracodawców RP zmiana ta jest zasadn</w:t>
      </w:r>
      <w:r w:rsidR="00567A08">
        <w:rPr>
          <w:rFonts w:ascii="Arial" w:eastAsia="Times New Roman" w:hAnsi="Arial" w:cs="Arial"/>
          <w:color w:val="000000"/>
          <w:lang w:eastAsia="pl-PL"/>
        </w:rPr>
        <w:t xml:space="preserve">a. Przede wszystkim porządkuje pojęcia, jakimi posługuje się unijny ustawodawca w różnych aktach prawnych, które wraz z projektowaną regulacją powinny tworzyć harmonijną całość, a nie wzajemnie się wykluczać lub nakładać odmienne wymagania. </w:t>
      </w:r>
    </w:p>
    <w:p w:rsidR="00E27B78" w:rsidRPr="0083301E" w:rsidRDefault="00E27B78" w:rsidP="0083301E">
      <w:pPr>
        <w:pStyle w:val="Akapitzlist"/>
        <w:shd w:val="clear" w:color="auto" w:fill="FFFFFF"/>
        <w:spacing w:after="0" w:line="276" w:lineRule="auto"/>
        <w:ind w:left="567"/>
        <w:jc w:val="both"/>
        <w:rPr>
          <w:rFonts w:ascii="Arial" w:eastAsia="Times New Roman" w:hAnsi="Arial" w:cs="Arial"/>
          <w:color w:val="000000"/>
          <w:lang w:eastAsia="pl-PL"/>
        </w:rPr>
      </w:pPr>
    </w:p>
    <w:p w:rsidR="003443C5" w:rsidRPr="0083301E" w:rsidRDefault="003443C5" w:rsidP="0083301E">
      <w:pPr>
        <w:pStyle w:val="Akapitzlist"/>
        <w:numPr>
          <w:ilvl w:val="0"/>
          <w:numId w:val="1"/>
        </w:numPr>
        <w:shd w:val="clear" w:color="auto" w:fill="FFFFFF"/>
        <w:spacing w:after="0" w:line="276" w:lineRule="auto"/>
        <w:ind w:left="567" w:hanging="567"/>
        <w:jc w:val="both"/>
        <w:rPr>
          <w:rFonts w:ascii="Arial" w:eastAsia="Times New Roman" w:hAnsi="Arial" w:cs="Arial"/>
          <w:color w:val="000000"/>
          <w:lang w:eastAsia="pl-PL"/>
        </w:rPr>
      </w:pPr>
      <w:r w:rsidRPr="0083301E">
        <w:rPr>
          <w:rFonts w:ascii="Arial" w:eastAsia="Times New Roman" w:hAnsi="Arial" w:cs="Arial"/>
          <w:b/>
          <w:bCs/>
          <w:color w:val="000000"/>
          <w:lang w:eastAsia="pl-PL"/>
        </w:rPr>
        <w:t>Czy zasadnym jest, aby innowacyjne opakowania były projektowane zgodnie z</w:t>
      </w:r>
      <w:r w:rsidR="001D401E">
        <w:rPr>
          <w:rFonts w:ascii="Arial" w:eastAsia="Times New Roman" w:hAnsi="Arial" w:cs="Arial"/>
          <w:b/>
          <w:bCs/>
          <w:color w:val="000000"/>
          <w:lang w:eastAsia="pl-PL"/>
        </w:rPr>
        <w:t> </w:t>
      </w:r>
      <w:r w:rsidRPr="0083301E">
        <w:rPr>
          <w:rFonts w:ascii="Arial" w:eastAsia="Times New Roman" w:hAnsi="Arial" w:cs="Arial"/>
          <w:b/>
          <w:bCs/>
          <w:color w:val="000000"/>
          <w:lang w:eastAsia="pl-PL"/>
        </w:rPr>
        <w:t>kryteriami projektowania z myślą o recyklingu i stanowiły odstępstwo jedynie od warunku "na dużą skalę"?</w:t>
      </w:r>
    </w:p>
    <w:p w:rsidR="00E27B78" w:rsidRPr="0083301E" w:rsidRDefault="00E27B78" w:rsidP="0083301E">
      <w:pPr>
        <w:pStyle w:val="Akapitzlist"/>
        <w:shd w:val="clear" w:color="auto" w:fill="FFFFFF"/>
        <w:spacing w:after="0" w:line="276" w:lineRule="auto"/>
        <w:ind w:left="567"/>
        <w:jc w:val="both"/>
        <w:rPr>
          <w:rFonts w:ascii="Arial" w:eastAsia="Times New Roman" w:hAnsi="Arial" w:cs="Arial"/>
          <w:b/>
          <w:bCs/>
          <w:color w:val="000000"/>
          <w:lang w:eastAsia="pl-PL"/>
        </w:rPr>
      </w:pPr>
    </w:p>
    <w:p w:rsidR="00E27B78" w:rsidRDefault="00E27B78" w:rsidP="0083301E">
      <w:pPr>
        <w:pStyle w:val="Akapitzlist"/>
        <w:shd w:val="clear" w:color="auto" w:fill="FFFFFF"/>
        <w:spacing w:after="0" w:line="276" w:lineRule="auto"/>
        <w:ind w:left="567"/>
        <w:jc w:val="both"/>
        <w:rPr>
          <w:rFonts w:ascii="Arial" w:eastAsia="Times New Roman" w:hAnsi="Arial" w:cs="Arial"/>
          <w:color w:val="000000"/>
          <w:u w:val="single"/>
          <w:lang w:eastAsia="pl-PL"/>
        </w:rPr>
      </w:pPr>
      <w:r w:rsidRPr="0083301E">
        <w:rPr>
          <w:rFonts w:ascii="Arial" w:eastAsia="Times New Roman" w:hAnsi="Arial" w:cs="Arial"/>
          <w:color w:val="000000"/>
          <w:u w:val="single"/>
          <w:lang w:eastAsia="pl-PL"/>
        </w:rPr>
        <w:t>ODPOWIEDŹ:</w:t>
      </w:r>
    </w:p>
    <w:p w:rsidR="00927992" w:rsidRPr="00927992" w:rsidRDefault="00927992" w:rsidP="0083301E">
      <w:pPr>
        <w:pStyle w:val="Akapitzlist"/>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Tytułem wstępu należy wskazać, że projektowanie zawsze powinno odbywać się z myślą o recyklingu. Dotyczy to również projektowania opakowań innowacyjnych. Dzięki takiemu podejściu producenci opakowań mogą uniknąć ewentualnych kosztów odpadowych, a ponadto przyczyniać się do zmniejszenia negatywnego wpływu na środowisko. Zgodność z kryteriami projektowania z myślą o późniejszym zbieraniu i</w:t>
      </w:r>
      <w:r w:rsidR="001D401E">
        <w:rPr>
          <w:rFonts w:ascii="Arial" w:eastAsia="Times New Roman" w:hAnsi="Arial" w:cs="Arial"/>
          <w:color w:val="000000"/>
          <w:lang w:eastAsia="pl-PL"/>
        </w:rPr>
        <w:t> </w:t>
      </w:r>
      <w:r>
        <w:rPr>
          <w:rFonts w:ascii="Arial" w:eastAsia="Times New Roman" w:hAnsi="Arial" w:cs="Arial"/>
          <w:color w:val="000000"/>
          <w:lang w:eastAsia="pl-PL"/>
        </w:rPr>
        <w:t>zagospodarowaniu odpadów opakowaniowych może przyczynić się do zwiększenia potencjału opakowań innowacyjnych i ich wartości dla konsumentów, wśród których widoczny jest trend wyboru tzw. produktów eco. Wydaje się zatem, że odejście od tego wymogu dla opakowań innowacyjnych nie jest dobrym kierunkiem. Rezygnacja z</w:t>
      </w:r>
      <w:r w:rsidR="001D401E">
        <w:rPr>
          <w:rFonts w:ascii="Arial" w:eastAsia="Times New Roman" w:hAnsi="Arial" w:cs="Arial"/>
          <w:color w:val="000000"/>
          <w:lang w:eastAsia="pl-PL"/>
        </w:rPr>
        <w:t> </w:t>
      </w:r>
      <w:r>
        <w:rPr>
          <w:rFonts w:ascii="Arial" w:eastAsia="Times New Roman" w:hAnsi="Arial" w:cs="Arial"/>
          <w:color w:val="000000"/>
          <w:lang w:eastAsia="pl-PL"/>
        </w:rPr>
        <w:t>wymogu</w:t>
      </w:r>
      <w:r w:rsidR="00CE05B8">
        <w:rPr>
          <w:rFonts w:ascii="Arial" w:eastAsia="Times New Roman" w:hAnsi="Arial" w:cs="Arial"/>
          <w:color w:val="000000"/>
          <w:lang w:eastAsia="pl-PL"/>
        </w:rPr>
        <w:t xml:space="preserve"> mogłaby skutkować wysypem innowacyjnych opakowań nie nadających się do recyklingu, co z kolei mogłoby zagrozić osiąganiu celów recyklingowych. Niemniej </w:t>
      </w:r>
      <w:r w:rsidR="001D401E">
        <w:rPr>
          <w:rFonts w:ascii="Arial" w:eastAsia="Times New Roman" w:hAnsi="Arial" w:cs="Arial"/>
          <w:color w:val="000000"/>
          <w:lang w:eastAsia="pl-PL"/>
        </w:rPr>
        <w:t xml:space="preserve">jednak </w:t>
      </w:r>
      <w:r w:rsidR="00CE05B8">
        <w:rPr>
          <w:rFonts w:ascii="Arial" w:eastAsia="Times New Roman" w:hAnsi="Arial" w:cs="Arial"/>
          <w:color w:val="000000"/>
          <w:lang w:eastAsia="pl-PL"/>
        </w:rPr>
        <w:t>nie można zapominać, że opakowania innowacyjne wprowadzane są w</w:t>
      </w:r>
      <w:r w:rsidR="001D401E">
        <w:rPr>
          <w:rFonts w:ascii="Arial" w:eastAsia="Times New Roman" w:hAnsi="Arial" w:cs="Arial"/>
          <w:color w:val="000000"/>
          <w:lang w:eastAsia="pl-PL"/>
        </w:rPr>
        <w:t> </w:t>
      </w:r>
      <w:r w:rsidR="00CE05B8">
        <w:rPr>
          <w:rFonts w:ascii="Arial" w:eastAsia="Times New Roman" w:hAnsi="Arial" w:cs="Arial"/>
          <w:color w:val="000000"/>
          <w:lang w:eastAsia="pl-PL"/>
        </w:rPr>
        <w:t xml:space="preserve">niewielkiej skali i nie zbudowano jeszcze dla nich systemu, </w:t>
      </w:r>
      <w:r w:rsidR="001D401E">
        <w:rPr>
          <w:rFonts w:ascii="Arial" w:eastAsia="Times New Roman" w:hAnsi="Arial" w:cs="Arial"/>
          <w:color w:val="000000"/>
          <w:lang w:eastAsia="pl-PL"/>
        </w:rPr>
        <w:t>a więc</w:t>
      </w:r>
      <w:r w:rsidR="00CE05B8">
        <w:rPr>
          <w:rFonts w:ascii="Arial" w:eastAsia="Times New Roman" w:hAnsi="Arial" w:cs="Arial"/>
          <w:color w:val="000000"/>
          <w:lang w:eastAsia="pl-PL"/>
        </w:rPr>
        <w:t xml:space="preserve"> generalnie odstępstwo jedynie od warunku dużej skali jest jak najbardziej zasadne.  </w:t>
      </w:r>
    </w:p>
    <w:p w:rsidR="00E27B78" w:rsidRPr="0083301E" w:rsidRDefault="00E27B78" w:rsidP="0083301E">
      <w:pPr>
        <w:pStyle w:val="Akapitzlist"/>
        <w:shd w:val="clear" w:color="auto" w:fill="FFFFFF"/>
        <w:spacing w:after="0" w:line="276" w:lineRule="auto"/>
        <w:ind w:left="567"/>
        <w:jc w:val="both"/>
        <w:rPr>
          <w:rFonts w:ascii="Arial" w:eastAsia="Times New Roman" w:hAnsi="Arial" w:cs="Arial"/>
          <w:color w:val="000000"/>
          <w:lang w:eastAsia="pl-PL"/>
        </w:rPr>
      </w:pPr>
    </w:p>
    <w:p w:rsidR="00E27B78" w:rsidRPr="0083301E" w:rsidRDefault="003443C5" w:rsidP="0083301E">
      <w:pPr>
        <w:pStyle w:val="Akapitzlist"/>
        <w:numPr>
          <w:ilvl w:val="0"/>
          <w:numId w:val="1"/>
        </w:numPr>
        <w:shd w:val="clear" w:color="auto" w:fill="FFFFFF"/>
        <w:spacing w:after="0" w:line="276" w:lineRule="auto"/>
        <w:ind w:left="567" w:hanging="567"/>
        <w:jc w:val="both"/>
        <w:rPr>
          <w:rFonts w:ascii="Arial" w:eastAsia="Times New Roman" w:hAnsi="Arial" w:cs="Arial"/>
          <w:color w:val="000000"/>
          <w:lang w:eastAsia="pl-PL"/>
        </w:rPr>
      </w:pPr>
      <w:r w:rsidRPr="0083301E">
        <w:rPr>
          <w:rFonts w:ascii="Arial" w:eastAsia="Times New Roman" w:hAnsi="Arial" w:cs="Arial"/>
          <w:b/>
          <w:bCs/>
          <w:color w:val="808080"/>
          <w:lang w:eastAsia="pl-PL"/>
        </w:rPr>
        <w:lastRenderedPageBreak/>
        <w:t>[Artykuł 7 </w:t>
      </w:r>
      <w:r w:rsidRPr="0083301E">
        <w:rPr>
          <w:rFonts w:ascii="Arial" w:eastAsia="Times New Roman" w:hAnsi="Arial" w:cs="Arial"/>
          <w:i/>
          <w:iCs/>
          <w:color w:val="808080"/>
          <w:lang w:eastAsia="pl-PL"/>
        </w:rPr>
        <w:t>Minimalna zawartość materiałów z recyklingu w opakowaniach z tworzyw sztucznych</w:t>
      </w:r>
      <w:r w:rsidRPr="0083301E">
        <w:rPr>
          <w:rFonts w:ascii="Arial" w:eastAsia="Times New Roman" w:hAnsi="Arial" w:cs="Arial"/>
          <w:color w:val="808080"/>
          <w:lang w:eastAsia="pl-PL"/>
        </w:rPr>
        <w:t>]</w:t>
      </w:r>
    </w:p>
    <w:p w:rsidR="003443C5" w:rsidRPr="0083301E" w:rsidRDefault="003443C5" w:rsidP="0083301E">
      <w:pPr>
        <w:pStyle w:val="Akapitzlist"/>
        <w:shd w:val="clear" w:color="auto" w:fill="FFFFFF"/>
        <w:spacing w:after="0" w:line="276" w:lineRule="auto"/>
        <w:ind w:left="567"/>
        <w:jc w:val="both"/>
        <w:rPr>
          <w:rFonts w:ascii="Arial" w:eastAsia="Times New Roman" w:hAnsi="Arial" w:cs="Arial"/>
          <w:b/>
          <w:bCs/>
          <w:color w:val="000000"/>
          <w:lang w:eastAsia="pl-PL"/>
        </w:rPr>
      </w:pPr>
      <w:r w:rsidRPr="0083301E">
        <w:rPr>
          <w:rFonts w:ascii="Arial" w:eastAsia="Times New Roman" w:hAnsi="Arial" w:cs="Arial"/>
          <w:b/>
          <w:bCs/>
          <w:color w:val="000000"/>
          <w:lang w:eastAsia="pl-PL"/>
        </w:rPr>
        <w:t>Czy zmiana odniesienia minimalnej zawa</w:t>
      </w:r>
      <w:r w:rsidR="00FD4866">
        <w:rPr>
          <w:rFonts w:ascii="Arial" w:eastAsia="Times New Roman" w:hAnsi="Arial" w:cs="Arial"/>
          <w:b/>
          <w:bCs/>
          <w:color w:val="000000"/>
          <w:lang w:eastAsia="pl-PL"/>
        </w:rPr>
        <w:t>r</w:t>
      </w:r>
      <w:r w:rsidRPr="0083301E">
        <w:rPr>
          <w:rFonts w:ascii="Arial" w:eastAsia="Times New Roman" w:hAnsi="Arial" w:cs="Arial"/>
          <w:b/>
          <w:bCs/>
          <w:color w:val="000000"/>
          <w:lang w:eastAsia="pl-PL"/>
        </w:rPr>
        <w:t>tości materiałów z recyklingu w</w:t>
      </w:r>
      <w:r w:rsidR="001D401E">
        <w:rPr>
          <w:rFonts w:ascii="Arial" w:eastAsia="Times New Roman" w:hAnsi="Arial" w:cs="Arial"/>
          <w:b/>
          <w:bCs/>
          <w:color w:val="000000"/>
          <w:lang w:eastAsia="pl-PL"/>
        </w:rPr>
        <w:t> </w:t>
      </w:r>
      <w:r w:rsidRPr="0083301E">
        <w:rPr>
          <w:rFonts w:ascii="Arial" w:eastAsia="Times New Roman" w:hAnsi="Arial" w:cs="Arial"/>
          <w:b/>
          <w:bCs/>
          <w:color w:val="000000"/>
          <w:lang w:eastAsia="pl-PL"/>
        </w:rPr>
        <w:t>opakowaniach z tworzyw sztucznych do jednostki opakowania na typ i format opakowania określonego w tabeli 1 załącznika II, zakładu produkcyjnego i roku będzie odpowiednia?</w:t>
      </w:r>
    </w:p>
    <w:p w:rsidR="00E27B78" w:rsidRPr="0083301E" w:rsidRDefault="00E27B78" w:rsidP="0083301E">
      <w:pPr>
        <w:pStyle w:val="Akapitzlist"/>
        <w:shd w:val="clear" w:color="auto" w:fill="FFFFFF"/>
        <w:spacing w:after="0" w:line="276" w:lineRule="auto"/>
        <w:ind w:left="567"/>
        <w:jc w:val="both"/>
        <w:rPr>
          <w:rFonts w:ascii="Arial" w:eastAsia="Times New Roman" w:hAnsi="Arial" w:cs="Arial"/>
          <w:b/>
          <w:bCs/>
          <w:color w:val="000000"/>
          <w:lang w:eastAsia="pl-PL"/>
        </w:rPr>
      </w:pPr>
    </w:p>
    <w:p w:rsidR="00E27B78" w:rsidRDefault="00E27B78" w:rsidP="0083301E">
      <w:pPr>
        <w:pStyle w:val="Akapitzlist"/>
        <w:shd w:val="clear" w:color="auto" w:fill="FFFFFF"/>
        <w:spacing w:after="0" w:line="276" w:lineRule="auto"/>
        <w:ind w:left="567"/>
        <w:jc w:val="both"/>
        <w:rPr>
          <w:rFonts w:ascii="Arial" w:eastAsia="Times New Roman" w:hAnsi="Arial" w:cs="Arial"/>
          <w:color w:val="000000"/>
          <w:u w:val="single"/>
          <w:lang w:eastAsia="pl-PL"/>
        </w:rPr>
      </w:pPr>
      <w:r w:rsidRPr="0083301E">
        <w:rPr>
          <w:rFonts w:ascii="Arial" w:eastAsia="Times New Roman" w:hAnsi="Arial" w:cs="Arial"/>
          <w:color w:val="000000"/>
          <w:u w:val="single"/>
          <w:lang w:eastAsia="pl-PL"/>
        </w:rPr>
        <w:t>ODPOWIEDŹ:</w:t>
      </w:r>
    </w:p>
    <w:p w:rsidR="008D43A3" w:rsidRPr="001D401E" w:rsidRDefault="00FD4866" w:rsidP="001D401E">
      <w:pPr>
        <w:pStyle w:val="Akapitzlist"/>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xml:space="preserve">W ślad za stanowiskiem Pracodawców RP z 3 marca 2023 r. dot. projektowanego rozporządzenia, wskazujemy, że istotnym jest zapewnienie właściwego wskaźnika obliczania zawartości recyklatu w opakowaniach. Aktualne brzmienie PPWR </w:t>
      </w:r>
      <w:r w:rsidR="00E922D7">
        <w:rPr>
          <w:rFonts w:ascii="Arial" w:eastAsia="Times New Roman" w:hAnsi="Arial" w:cs="Arial"/>
          <w:color w:val="000000"/>
          <w:lang w:eastAsia="pl-PL"/>
        </w:rPr>
        <w:t>proponuje, aby docelowe wartości dotyczące zawartości materiałów pochodzących z recyklingu w</w:t>
      </w:r>
      <w:r w:rsidR="001D401E">
        <w:rPr>
          <w:rFonts w:ascii="Arial" w:eastAsia="Times New Roman" w:hAnsi="Arial" w:cs="Arial"/>
          <w:color w:val="000000"/>
          <w:lang w:eastAsia="pl-PL"/>
        </w:rPr>
        <w:t> </w:t>
      </w:r>
      <w:r w:rsidR="00E922D7">
        <w:rPr>
          <w:rFonts w:ascii="Arial" w:eastAsia="Times New Roman" w:hAnsi="Arial" w:cs="Arial"/>
          <w:color w:val="000000"/>
          <w:lang w:eastAsia="pl-PL"/>
        </w:rPr>
        <w:t>tworzywach sztucznych wyrażane były w przeliczeniu na jednostkę opakowaniową. W</w:t>
      </w:r>
      <w:r w:rsidR="001D401E">
        <w:rPr>
          <w:rFonts w:ascii="Arial" w:eastAsia="Times New Roman" w:hAnsi="Arial" w:cs="Arial"/>
          <w:color w:val="000000"/>
          <w:lang w:eastAsia="pl-PL"/>
        </w:rPr>
        <w:t> </w:t>
      </w:r>
      <w:r w:rsidR="00E922D7">
        <w:rPr>
          <w:rFonts w:ascii="Arial" w:eastAsia="Times New Roman" w:hAnsi="Arial" w:cs="Arial"/>
          <w:color w:val="000000"/>
          <w:lang w:eastAsia="pl-PL"/>
        </w:rPr>
        <w:t>naszej ocenie nie jest to dobre rozwiązanie. Może ono powodować przede wszystkim komplikacje na poziomie organizacyjnym. Zawartość surowców wtórnych w</w:t>
      </w:r>
      <w:r w:rsidR="001D401E">
        <w:rPr>
          <w:rFonts w:ascii="Arial" w:eastAsia="Times New Roman" w:hAnsi="Arial" w:cs="Arial"/>
          <w:color w:val="000000"/>
          <w:lang w:eastAsia="pl-PL"/>
        </w:rPr>
        <w:t> </w:t>
      </w:r>
      <w:r w:rsidR="00E922D7">
        <w:rPr>
          <w:rFonts w:ascii="Arial" w:eastAsia="Times New Roman" w:hAnsi="Arial" w:cs="Arial"/>
          <w:color w:val="000000"/>
          <w:lang w:eastAsia="pl-PL"/>
        </w:rPr>
        <w:t>opakowaniach powinna być uśredniona i analizowana na poziomie danego przedsiębiorstwa, a nie tak jak proponuje się w rozporządzeniu</w:t>
      </w:r>
      <w:r w:rsidR="001D401E">
        <w:rPr>
          <w:rFonts w:ascii="Arial" w:eastAsia="Times New Roman" w:hAnsi="Arial" w:cs="Arial"/>
          <w:color w:val="000000"/>
          <w:lang w:eastAsia="pl-PL"/>
        </w:rPr>
        <w:t xml:space="preserve"> – </w:t>
      </w:r>
      <w:r w:rsidR="00E922D7" w:rsidRPr="001D401E">
        <w:rPr>
          <w:rFonts w:ascii="Arial" w:eastAsia="Times New Roman" w:hAnsi="Arial" w:cs="Arial"/>
          <w:color w:val="000000"/>
          <w:lang w:eastAsia="pl-PL"/>
        </w:rPr>
        <w:t xml:space="preserve">na sztukę opakowania. </w:t>
      </w:r>
      <w:r w:rsidR="002156D5" w:rsidRPr="001D401E">
        <w:rPr>
          <w:rFonts w:ascii="Arial" w:eastAsia="Times New Roman" w:hAnsi="Arial" w:cs="Arial"/>
          <w:color w:val="000000"/>
          <w:lang w:eastAsia="pl-PL"/>
        </w:rPr>
        <w:t>Proponowane podejście byłoby uciążliwe i trudne do raportowania. Obciążenia administracyjne także byłyby trudne do udźwignięcia, zwłaszcza dla małych przedsiębiorstw.</w:t>
      </w:r>
    </w:p>
    <w:p w:rsidR="001626CE" w:rsidRDefault="001626CE" w:rsidP="0083301E">
      <w:pPr>
        <w:pStyle w:val="Akapitzlist"/>
        <w:shd w:val="clear" w:color="auto" w:fill="FFFFFF"/>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Z PPWR wynika, że każda część plastikowa w opakowaniu musi zawierać surowiec wtórny w określonej proporcji, co jest trudne do zrealizowania i raportowana. Gdyby jednak zawartość recyklatu w opakowaniach szacowana była i raportowana na poziomie przedsiębiorstwa ułatwiłoby to szeroko rozumianą organizację, w tym działalność procesową, administracyjną i kontrolną. Zaznaczyć należy, że takie rozwiązanie nie</w:t>
      </w:r>
      <w:r w:rsidR="001D401E">
        <w:rPr>
          <w:rFonts w:ascii="Arial" w:eastAsia="Times New Roman" w:hAnsi="Arial" w:cs="Arial"/>
          <w:color w:val="000000"/>
          <w:lang w:eastAsia="pl-PL"/>
        </w:rPr>
        <w:t> </w:t>
      </w:r>
      <w:r>
        <w:rPr>
          <w:rFonts w:ascii="Arial" w:eastAsia="Times New Roman" w:hAnsi="Arial" w:cs="Arial"/>
          <w:color w:val="000000"/>
          <w:lang w:eastAsia="pl-PL"/>
        </w:rPr>
        <w:t>miałoby negatywnego wpływu na rynek surowców wtórnych, bowiem przedsiębiorcy będą zwracać dokładnie tę samą masą surowców wtórnych do opakowań, niezależnie od zastosowanej metody. Postulowana przez nas metoda ułatwiłaby zobowiązanym podmiotom realizację celów dot. minimalnej zawartości materiałów z recyklingu w</w:t>
      </w:r>
      <w:r w:rsidR="001D401E">
        <w:rPr>
          <w:rFonts w:ascii="Arial" w:eastAsia="Times New Roman" w:hAnsi="Arial" w:cs="Arial"/>
          <w:color w:val="000000"/>
          <w:lang w:eastAsia="pl-PL"/>
        </w:rPr>
        <w:t> </w:t>
      </w:r>
      <w:r>
        <w:rPr>
          <w:rFonts w:ascii="Arial" w:eastAsia="Times New Roman" w:hAnsi="Arial" w:cs="Arial"/>
          <w:color w:val="000000"/>
          <w:lang w:eastAsia="pl-PL"/>
        </w:rPr>
        <w:t xml:space="preserve">opakowaniach z tworzyw sztucznych. </w:t>
      </w:r>
    </w:p>
    <w:p w:rsidR="003443C5" w:rsidRPr="0083301E" w:rsidRDefault="003443C5" w:rsidP="0083301E">
      <w:pPr>
        <w:shd w:val="clear" w:color="auto" w:fill="FFFFFF"/>
        <w:spacing w:after="0" w:line="276" w:lineRule="auto"/>
        <w:jc w:val="both"/>
        <w:rPr>
          <w:rFonts w:ascii="Arial" w:eastAsia="Times New Roman" w:hAnsi="Arial" w:cs="Arial"/>
          <w:color w:val="000000"/>
          <w:lang w:eastAsia="pl-PL"/>
        </w:rPr>
      </w:pPr>
    </w:p>
    <w:p w:rsidR="00E27B78" w:rsidRPr="0083301E" w:rsidRDefault="003443C5" w:rsidP="0083301E">
      <w:pPr>
        <w:pStyle w:val="Akapitzlist"/>
        <w:numPr>
          <w:ilvl w:val="0"/>
          <w:numId w:val="1"/>
        </w:numPr>
        <w:shd w:val="clear" w:color="auto" w:fill="FFFFFF"/>
        <w:spacing w:after="0" w:line="276" w:lineRule="auto"/>
        <w:ind w:left="567" w:hanging="567"/>
        <w:jc w:val="both"/>
        <w:rPr>
          <w:rFonts w:ascii="Arial" w:eastAsia="Times New Roman" w:hAnsi="Arial" w:cs="Arial"/>
          <w:color w:val="000000"/>
          <w:lang w:eastAsia="pl-PL"/>
        </w:rPr>
      </w:pPr>
      <w:r w:rsidRPr="0083301E">
        <w:rPr>
          <w:rFonts w:ascii="Arial" w:eastAsia="Times New Roman" w:hAnsi="Arial" w:cs="Arial"/>
          <w:b/>
          <w:bCs/>
          <w:color w:val="808080"/>
          <w:lang w:eastAsia="pl-PL"/>
        </w:rPr>
        <w:t>[Artykuł 8 </w:t>
      </w:r>
      <w:r w:rsidRPr="0083301E">
        <w:rPr>
          <w:rFonts w:ascii="Arial" w:eastAsia="Times New Roman" w:hAnsi="Arial" w:cs="Arial"/>
          <w:i/>
          <w:iCs/>
          <w:color w:val="808080"/>
          <w:lang w:eastAsia="pl-PL"/>
        </w:rPr>
        <w:t>Opakowania kompostowalne</w:t>
      </w:r>
      <w:r w:rsidRPr="0083301E">
        <w:rPr>
          <w:rFonts w:ascii="Arial" w:eastAsia="Times New Roman" w:hAnsi="Arial" w:cs="Arial"/>
          <w:color w:val="808080"/>
          <w:lang w:eastAsia="pl-PL"/>
        </w:rPr>
        <w:t>]</w:t>
      </w:r>
    </w:p>
    <w:p w:rsidR="003443C5" w:rsidRPr="0083301E" w:rsidRDefault="003443C5" w:rsidP="0083301E">
      <w:pPr>
        <w:pStyle w:val="Akapitzlist"/>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b/>
          <w:bCs/>
          <w:color w:val="000000"/>
          <w:lang w:eastAsia="pl-PL"/>
        </w:rPr>
        <w:t>Który z poniżej przedstawionych kierunków działań w odniesieniu do opakowań kompostowalnych będzie najbardziej odpowiedni?</w:t>
      </w:r>
    </w:p>
    <w:p w:rsidR="003443C5" w:rsidRPr="0083301E" w:rsidRDefault="003443C5" w:rsidP="0083301E">
      <w:pPr>
        <w:shd w:val="clear" w:color="auto" w:fill="FFFFFF"/>
        <w:spacing w:after="0" w:line="276" w:lineRule="auto"/>
        <w:jc w:val="both"/>
        <w:rPr>
          <w:rFonts w:ascii="Arial" w:eastAsia="Times New Roman" w:hAnsi="Arial" w:cs="Arial"/>
          <w:color w:val="000000"/>
          <w:lang w:eastAsia="pl-PL"/>
        </w:rPr>
      </w:pP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i/>
          <w:iCs/>
          <w:color w:val="000000"/>
          <w:lang w:eastAsia="pl-PL"/>
        </w:rPr>
        <w:t>1. Usunięcie jednoporcjowych kapsułek z kawą lub herbatą wykorzystywanych w</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systemach kapsułkowych z obowiązku określonego w art. 8 ust. 1, co oznacza, że</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muszą one być zgodne z art. 6. Pozwoli to rozwiać obawy dotyczące możliwości zapewnienia przemysłowego przetwarzania bioodpadów z tego rodzaju opakowań, a</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także uzasadnić, że kapsułki te nadają się raczej do recyklingu. Nie pozwoli to</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natomiast na to, by kapsułki te ulegały biodegradacji i były traktowane jako bioodpady, jeśli nie nadawałyby się również do recyklingu.</w:t>
      </w: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i/>
          <w:iCs/>
          <w:color w:val="000000"/>
          <w:lang w:eastAsia="pl-PL"/>
        </w:rPr>
        <w:t>2. Przeniesienie większej liczby opakowań wymienionych w art. 8 ust. 1 do art. 8 ust. 2, np. kapsułek, i zamiast tego upoważnienie państw członkowskich do wymagania, aby</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t</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 xml:space="preserve"> opakowania były kompostowalne, pod warunkiem że mogą one zapewnić dostępność odpowiednich systemów zbierania odpadów i infrastruktury przetwarzania odpadów, aby zagwarantować, że opakowania te trafią do strumienia odpadów </w:t>
      </w:r>
      <w:r w:rsidRPr="0083301E">
        <w:rPr>
          <w:rFonts w:ascii="Arial" w:eastAsia="Times New Roman" w:hAnsi="Arial" w:cs="Arial"/>
          <w:i/>
          <w:iCs/>
          <w:color w:val="000000"/>
          <w:lang w:eastAsia="pl-PL"/>
        </w:rPr>
        <w:lastRenderedPageBreak/>
        <w:t>organicznych. Wariant ten zapewni większą elastyczność (wprowadzenie wymogu kompostowania opakowań, gdy są ku temu możliwości, tj. można zapewnić odpowiednie przetwarzanie bioodpadów przemysłowych). Opakowania, które pozostaną w art. 8 ust.</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1, podlegałyby obowiązkowi kompostowania w całej UE.</w:t>
      </w: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i/>
          <w:iCs/>
          <w:color w:val="000000"/>
          <w:lang w:eastAsia="pl-PL"/>
        </w:rPr>
        <w:t>3. Zezwolenie na kompostowanie opakowań wymienionych w art. 8 ust. 1 lub art. 8 ust</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 xml:space="preserve"> 2, pod warunkiem, że możliwe jest zapewnienie dostępność odpowiednich systemów zbierania odpadów i infrastruktury przetwarzania odpadów w celu zagwarantowania, że opakowania te trafią do strumienia odpadów organicznych. W tym wariancie opakowania nadające się do kompostowania nie byłyby obowiązkowe w</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przypadku niektórych rodzajów opakowań, zamiast tego konsumenci mogliby wybierać między opakowaniami nadającymi się do kompostowania a opakowaniami nadającymi się do recyklingu materiałowego. Wariant ten zapewni większą elastyczności, byłby on jednak mniej zharmonizowany.</w:t>
      </w: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p>
    <w:p w:rsidR="003443C5" w:rsidRPr="0083301E" w:rsidRDefault="003443C5" w:rsidP="0083301E">
      <w:pPr>
        <w:shd w:val="clear" w:color="auto" w:fill="FFFFFF"/>
        <w:spacing w:after="0" w:line="276" w:lineRule="auto"/>
        <w:ind w:left="567"/>
        <w:jc w:val="both"/>
        <w:rPr>
          <w:rFonts w:ascii="Arial" w:eastAsia="Times New Roman" w:hAnsi="Arial" w:cs="Arial"/>
          <w:color w:val="000000"/>
          <w:lang w:eastAsia="pl-PL"/>
        </w:rPr>
      </w:pPr>
      <w:r w:rsidRPr="0083301E">
        <w:rPr>
          <w:rFonts w:ascii="Arial" w:eastAsia="Times New Roman" w:hAnsi="Arial" w:cs="Arial"/>
          <w:i/>
          <w:iCs/>
          <w:color w:val="000000"/>
          <w:lang w:eastAsia="pl-PL"/>
        </w:rPr>
        <w:t>4. Usunąć art. 8 ust. 5 w celu ograniczenia do minimum formatów opakowań, które</w:t>
      </w:r>
      <w:r w:rsidR="001D401E">
        <w:rPr>
          <w:rFonts w:ascii="Arial" w:eastAsia="Times New Roman" w:hAnsi="Arial" w:cs="Arial"/>
          <w:i/>
          <w:iCs/>
          <w:color w:val="000000"/>
          <w:lang w:eastAsia="pl-PL"/>
        </w:rPr>
        <w:t> </w:t>
      </w:r>
      <w:r w:rsidRPr="0083301E">
        <w:rPr>
          <w:rFonts w:ascii="Arial" w:eastAsia="Times New Roman" w:hAnsi="Arial" w:cs="Arial"/>
          <w:i/>
          <w:iCs/>
          <w:color w:val="000000"/>
          <w:lang w:eastAsia="pl-PL"/>
        </w:rPr>
        <w:t>powinny być kompostowalne (tj. uniemożliwić włączenie dodatkowych formatów opakowań w przyszłości).</w:t>
      </w:r>
    </w:p>
    <w:p w:rsidR="00400AD8" w:rsidRPr="0083301E" w:rsidRDefault="00400AD8" w:rsidP="00524B5C">
      <w:pPr>
        <w:spacing w:line="276" w:lineRule="auto"/>
        <w:ind w:left="567"/>
        <w:jc w:val="both"/>
        <w:rPr>
          <w:rFonts w:ascii="Arial" w:hAnsi="Arial" w:cs="Arial"/>
        </w:rPr>
      </w:pPr>
    </w:p>
    <w:p w:rsidR="00524B5C" w:rsidRDefault="00E27B78" w:rsidP="00524B5C">
      <w:pPr>
        <w:spacing w:after="0" w:line="276" w:lineRule="auto"/>
        <w:ind w:left="567"/>
        <w:jc w:val="both"/>
        <w:rPr>
          <w:rFonts w:ascii="Arial" w:hAnsi="Arial" w:cs="Arial"/>
          <w:u w:val="single"/>
        </w:rPr>
      </w:pPr>
      <w:r w:rsidRPr="0083301E">
        <w:rPr>
          <w:rFonts w:ascii="Arial" w:hAnsi="Arial" w:cs="Arial"/>
          <w:u w:val="single"/>
        </w:rPr>
        <w:t>ODPOWIEDŹ:</w:t>
      </w:r>
    </w:p>
    <w:p w:rsidR="00524B5C" w:rsidRPr="00524B5C" w:rsidRDefault="00524B5C" w:rsidP="00524B5C">
      <w:pPr>
        <w:spacing w:after="0" w:line="276" w:lineRule="auto"/>
        <w:ind w:left="567"/>
        <w:jc w:val="both"/>
        <w:rPr>
          <w:rFonts w:ascii="Arial" w:hAnsi="Arial" w:cs="Arial"/>
        </w:rPr>
      </w:pPr>
      <w:r w:rsidRPr="00524B5C">
        <w:rPr>
          <w:rFonts w:ascii="Arial" w:hAnsi="Arial" w:cs="Arial"/>
        </w:rPr>
        <w:t>W nawiązaniu do stanowiska Pracodawców RP wyrażonego w piśmie z 3 marca 2023 r. dot. projektowanego rozporządzenia, wskazujemy, że w naszej ocenie najlepsz</w:t>
      </w:r>
      <w:r>
        <w:rPr>
          <w:rFonts w:ascii="Arial" w:hAnsi="Arial" w:cs="Arial"/>
        </w:rPr>
        <w:t>e podejście przedstawione jest w pkt. 1. Jak już podnosiliśmy, z projektowanego art. 8 ust.</w:t>
      </w:r>
      <w:r w:rsidR="001D401E">
        <w:rPr>
          <w:rFonts w:ascii="Arial" w:hAnsi="Arial" w:cs="Arial"/>
        </w:rPr>
        <w:t> </w:t>
      </w:r>
      <w:r>
        <w:rPr>
          <w:rFonts w:ascii="Arial" w:hAnsi="Arial" w:cs="Arial"/>
        </w:rPr>
        <w:t xml:space="preserve">1 PPWR należy usunąć odesłanie do art. 3 ust. 1 lit. g). </w:t>
      </w:r>
    </w:p>
    <w:sectPr w:rsidR="00524B5C" w:rsidRPr="00524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B6F"/>
    <w:multiLevelType w:val="hybridMultilevel"/>
    <w:tmpl w:val="776CFA9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 w15:restartNumberingAfterBreak="0">
    <w:nsid w:val="26582CF4"/>
    <w:multiLevelType w:val="hybridMultilevel"/>
    <w:tmpl w:val="DEC2608A"/>
    <w:lvl w:ilvl="0" w:tplc="C7BCF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0B54D0C"/>
    <w:multiLevelType w:val="hybridMultilevel"/>
    <w:tmpl w:val="38825D5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 w15:restartNumberingAfterBreak="0">
    <w:nsid w:val="6255151C"/>
    <w:multiLevelType w:val="hybridMultilevel"/>
    <w:tmpl w:val="ABEADDBA"/>
    <w:lvl w:ilvl="0" w:tplc="BCB4FAB2">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5895032">
    <w:abstractNumId w:val="3"/>
  </w:num>
  <w:num w:numId="2" w16cid:durableId="87511234">
    <w:abstractNumId w:val="1"/>
  </w:num>
  <w:num w:numId="3" w16cid:durableId="1570917525">
    <w:abstractNumId w:val="2"/>
  </w:num>
  <w:num w:numId="4" w16cid:durableId="95120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C5"/>
    <w:rsid w:val="000633E1"/>
    <w:rsid w:val="001626CE"/>
    <w:rsid w:val="001C4158"/>
    <w:rsid w:val="001D401E"/>
    <w:rsid w:val="002156D5"/>
    <w:rsid w:val="002A7DC7"/>
    <w:rsid w:val="003443C5"/>
    <w:rsid w:val="00356D4D"/>
    <w:rsid w:val="003F0D78"/>
    <w:rsid w:val="00400AD8"/>
    <w:rsid w:val="004A05C7"/>
    <w:rsid w:val="004A5301"/>
    <w:rsid w:val="004C3405"/>
    <w:rsid w:val="004C4906"/>
    <w:rsid w:val="00524B5C"/>
    <w:rsid w:val="00567A08"/>
    <w:rsid w:val="00602DDF"/>
    <w:rsid w:val="0083301E"/>
    <w:rsid w:val="00851489"/>
    <w:rsid w:val="0086535B"/>
    <w:rsid w:val="008D43A3"/>
    <w:rsid w:val="00902D63"/>
    <w:rsid w:val="00927992"/>
    <w:rsid w:val="009348AC"/>
    <w:rsid w:val="00AF52E1"/>
    <w:rsid w:val="00C4454F"/>
    <w:rsid w:val="00CE008B"/>
    <w:rsid w:val="00CE05B8"/>
    <w:rsid w:val="00CE6BCC"/>
    <w:rsid w:val="00DF2F70"/>
    <w:rsid w:val="00E27B78"/>
    <w:rsid w:val="00E643E8"/>
    <w:rsid w:val="00E64532"/>
    <w:rsid w:val="00E922D7"/>
    <w:rsid w:val="00FA7F76"/>
    <w:rsid w:val="00FD4866"/>
    <w:rsid w:val="00FF3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0463"/>
  <w15:chartTrackingRefBased/>
  <w15:docId w15:val="{B4C84A6F-0D61-40E7-A5D2-DE7296D1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3C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2056</Words>
  <Characters>12339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Siemiatycka</dc:creator>
  <cp:keywords/>
  <dc:description/>
  <cp:lastModifiedBy>Martyna Siemiatycka</cp:lastModifiedBy>
  <cp:revision>25</cp:revision>
  <dcterms:created xsi:type="dcterms:W3CDTF">2023-04-14T06:34:00Z</dcterms:created>
  <dcterms:modified xsi:type="dcterms:W3CDTF">2023-04-14T11:43:00Z</dcterms:modified>
</cp:coreProperties>
</file>